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RE:</w:t>
      </w:r>
      <w:r>
        <w:rPr>
          <w:rFonts w:ascii="Arial" w:hAnsi="Arial" w:cs="Arial"/>
          <w:b/>
          <w:sz w:val="20"/>
          <w:szCs w:val="20"/>
        </w:rPr>
        <w:tab/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Diagnosis:  </w:t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Medication: </w:t>
      </w:r>
    </w:p>
    <w:p w:rsidR="00012438" w:rsidRDefault="00012438" w:rsidP="00012438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patient with psoriasis is starting on </w:t>
      </w:r>
      <w:proofErr w:type="spellStart"/>
      <w:r>
        <w:rPr>
          <w:rFonts w:ascii="Arial" w:hAnsi="Arial" w:cs="Arial"/>
          <w:sz w:val="20"/>
          <w:szCs w:val="20"/>
        </w:rPr>
        <w:t>apremilast</w:t>
      </w:r>
      <w:proofErr w:type="spellEnd"/>
      <w:r>
        <w:rPr>
          <w:rFonts w:ascii="Arial" w:hAnsi="Arial" w:cs="Arial"/>
          <w:sz w:val="20"/>
          <w:szCs w:val="20"/>
        </w:rPr>
        <w:t xml:space="preserve"> tablets. This is a</w:t>
      </w:r>
      <w:r>
        <w:rPr>
          <w:rFonts w:ascii="Arial" w:hAnsi="Arial" w:cs="Arial"/>
          <w:iCs/>
          <w:sz w:val="20"/>
          <w:szCs w:val="20"/>
        </w:rPr>
        <w:t xml:space="preserve"> black triangle drug▼, classified as red on the Traffic light drug list in Sheffield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Apremilast</w:t>
      </w:r>
      <w:proofErr w:type="spellEnd"/>
      <w:r>
        <w:rPr>
          <w:rFonts w:ascii="Arial" w:hAnsi="Arial" w:cs="Arial"/>
          <w:sz w:val="20"/>
          <w:szCs w:val="20"/>
        </w:rPr>
        <w:t xml:space="preserve"> is indicated for the treatment of moderate to severe plaque psoriasis in those where other treatments have either failed or are contraindicated. NICE recommends that it is only prescribed in a select group of patients </w:t>
      </w:r>
      <w:r>
        <w:rPr>
          <w:rFonts w:ascii="Arial" w:hAnsi="Arial" w:cs="Arial"/>
          <w:sz w:val="20"/>
          <w:szCs w:val="20"/>
          <w:vertAlign w:val="superscript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Initiation, prescribing and monitoring is currently all done through secondary care. </w:t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dose is gradually increased to 30 mg </w:t>
      </w:r>
      <w:proofErr w:type="spellStart"/>
      <w:r>
        <w:rPr>
          <w:rFonts w:ascii="Arial" w:hAnsi="Arial" w:cs="Arial"/>
          <w:sz w:val="20"/>
          <w:szCs w:val="20"/>
        </w:rPr>
        <w:t>bd</w:t>
      </w:r>
      <w:proofErr w:type="spellEnd"/>
      <w:r>
        <w:rPr>
          <w:rFonts w:ascii="Arial" w:hAnsi="Arial" w:cs="Arial"/>
          <w:sz w:val="20"/>
          <w:szCs w:val="20"/>
        </w:rPr>
        <w:t xml:space="preserve"> over the first week with r</w:t>
      </w:r>
      <w:r>
        <w:rPr>
          <w:rFonts w:ascii="Arial" w:hAnsi="Arial" w:cs="Arial"/>
          <w:iCs/>
          <w:sz w:val="20"/>
          <w:szCs w:val="20"/>
        </w:rPr>
        <w:t>eview in secondary care approximately 16 weeks after starting treatment and at 16 week intervals to assess response.</w:t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GPs are encouraged to add </w:t>
      </w:r>
      <w:proofErr w:type="spellStart"/>
      <w:r>
        <w:rPr>
          <w:rFonts w:ascii="Arial" w:hAnsi="Arial" w:cs="Arial"/>
          <w:iCs/>
          <w:sz w:val="20"/>
          <w:szCs w:val="20"/>
        </w:rPr>
        <w:t>apremilast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as a hospital issued drug to the clinical record in order to pick up potential interactions. There is a useful reminder on how to do this for GP practices on the intranet (link below </w:t>
      </w:r>
      <w:r>
        <w:rPr>
          <w:rFonts w:ascii="Arial" w:hAnsi="Arial" w:cs="Arial"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sz w:val="20"/>
          <w:szCs w:val="20"/>
        </w:rPr>
        <w:t>).</w:t>
      </w:r>
    </w:p>
    <w:p w:rsidR="00012438" w:rsidRDefault="00012438" w:rsidP="000124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 more information please refer to the SPC and NICE guidance (links below </w:t>
      </w:r>
      <w:r>
        <w:rPr>
          <w:sz w:val="20"/>
          <w:szCs w:val="20"/>
          <w:vertAlign w:val="superscript"/>
        </w:rPr>
        <w:t>3</w:t>
      </w:r>
      <w:proofErr w:type="gramStart"/>
      <w:r>
        <w:rPr>
          <w:sz w:val="20"/>
          <w:szCs w:val="20"/>
          <w:vertAlign w:val="superscript"/>
        </w:rPr>
        <w:t>,1</w:t>
      </w:r>
      <w:proofErr w:type="gramEnd"/>
      <w:r>
        <w:rPr>
          <w:sz w:val="20"/>
          <w:szCs w:val="20"/>
        </w:rPr>
        <w:t xml:space="preserve">). You will also note the recent MHRA safety alert (link below 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) which warns that some patients may experience psychiatric symptoms with </w:t>
      </w:r>
      <w:proofErr w:type="spellStart"/>
      <w:r>
        <w:rPr>
          <w:sz w:val="20"/>
          <w:szCs w:val="20"/>
        </w:rPr>
        <w:t>apremilast</w:t>
      </w:r>
      <w:proofErr w:type="spellEnd"/>
      <w:r>
        <w:rPr>
          <w:sz w:val="20"/>
          <w:szCs w:val="20"/>
        </w:rPr>
        <w:t>, including depression and suicidal thoughts and that patients should</w:t>
      </w:r>
      <w:r w:rsidR="003634E1">
        <w:rPr>
          <w:sz w:val="20"/>
          <w:szCs w:val="20"/>
        </w:rPr>
        <w:t xml:space="preserve"> be advised to </w:t>
      </w:r>
      <w:bookmarkStart w:id="0" w:name="_GoBack"/>
      <w:bookmarkEnd w:id="0"/>
      <w:r>
        <w:rPr>
          <w:sz w:val="20"/>
          <w:szCs w:val="20"/>
        </w:rPr>
        <w:t xml:space="preserve">report changes in mood. </w:t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sincerely,</w:t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012438" w:rsidP="0001243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Consultant Dermatologist</w:t>
      </w:r>
    </w:p>
    <w:p w:rsidR="00012438" w:rsidRDefault="00012438" w:rsidP="00012438">
      <w:pPr>
        <w:rPr>
          <w:rFonts w:ascii="Arial" w:hAnsi="Arial" w:cs="Arial"/>
          <w:sz w:val="20"/>
          <w:szCs w:val="20"/>
        </w:rPr>
      </w:pPr>
    </w:p>
    <w:p w:rsidR="00012438" w:rsidRDefault="00851A2F" w:rsidP="000124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012438">
          <w:rPr>
            <w:rStyle w:val="Hyperlink"/>
            <w:rFonts w:cs="Arial"/>
            <w:sz w:val="20"/>
            <w:szCs w:val="20"/>
          </w:rPr>
          <w:t xml:space="preserve">NICE TA 419 </w:t>
        </w:r>
        <w:proofErr w:type="spellStart"/>
        <w:r w:rsidR="00012438">
          <w:rPr>
            <w:rStyle w:val="Hyperlink"/>
            <w:rFonts w:cs="Arial"/>
            <w:sz w:val="20"/>
            <w:szCs w:val="20"/>
          </w:rPr>
          <w:t>Apremilast</w:t>
        </w:r>
        <w:proofErr w:type="spellEnd"/>
        <w:r w:rsidR="00012438">
          <w:rPr>
            <w:rStyle w:val="Hyperlink"/>
            <w:rFonts w:cs="Arial"/>
            <w:sz w:val="20"/>
            <w:szCs w:val="20"/>
          </w:rPr>
          <w:t xml:space="preserve"> moderate to severe plaque psoriasis</w:t>
        </w:r>
      </w:hyperlink>
    </w:p>
    <w:p w:rsidR="00012438" w:rsidRDefault="00851A2F" w:rsidP="000124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012438">
          <w:rPr>
            <w:rStyle w:val="Hyperlink"/>
            <w:rFonts w:cs="Arial"/>
            <w:sz w:val="20"/>
            <w:szCs w:val="20"/>
          </w:rPr>
          <w:t>http://www.intranet.sheffieldccg.nhs.uk/Downloads/Medicines%20Management/Practice%20resources%20and%20PGDs/Recording_SIDs_on_practice_clinical_systems.pdf</w:t>
        </w:r>
      </w:hyperlink>
    </w:p>
    <w:p w:rsidR="00012438" w:rsidRDefault="00851A2F" w:rsidP="000124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012438">
          <w:rPr>
            <w:rStyle w:val="Hyperlink"/>
            <w:rFonts w:cs="Arial"/>
            <w:sz w:val="20"/>
            <w:szCs w:val="20"/>
          </w:rPr>
          <w:t>http://www.medicines.org.uk/emc/medicine/29793</w:t>
        </w:r>
      </w:hyperlink>
    </w:p>
    <w:p w:rsidR="00012438" w:rsidRDefault="00851A2F" w:rsidP="000124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012438">
          <w:rPr>
            <w:rStyle w:val="Hyperlink"/>
            <w:rFonts w:cs="Arial"/>
            <w:sz w:val="20"/>
            <w:szCs w:val="20"/>
          </w:rPr>
          <w:t>https://www.gov.uk/government/uploads/system/uploads/attachment_data/file/584584/pdf_Jan.pdf</w:t>
        </w:r>
      </w:hyperlink>
    </w:p>
    <w:p w:rsidR="00432B62" w:rsidRDefault="00851A2F"/>
    <w:sectPr w:rsidR="00432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F10"/>
    <w:multiLevelType w:val="hybridMultilevel"/>
    <w:tmpl w:val="EB802D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38"/>
    <w:rsid w:val="00012438"/>
    <w:rsid w:val="001F6788"/>
    <w:rsid w:val="003634E1"/>
    <w:rsid w:val="006E1CBD"/>
    <w:rsid w:val="00D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438"/>
    <w:rPr>
      <w:rFonts w:ascii="Times New Roman" w:hAnsi="Times New Roman" w:cs="Times New Roman" w:hint="default"/>
      <w:color w:val="000000"/>
      <w:u w:val="single"/>
    </w:rPr>
  </w:style>
  <w:style w:type="paragraph" w:customStyle="1" w:styleId="Default">
    <w:name w:val="Default"/>
    <w:rsid w:val="000124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438"/>
    <w:rPr>
      <w:rFonts w:ascii="Times New Roman" w:hAnsi="Times New Roman" w:cs="Times New Roman" w:hint="default"/>
      <w:color w:val="000000"/>
      <w:u w:val="single"/>
    </w:rPr>
  </w:style>
  <w:style w:type="paragraph" w:customStyle="1" w:styleId="Default">
    <w:name w:val="Default"/>
    <w:rsid w:val="000124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es.org.uk/emc/medicine/297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tranet.sheffieldccg.nhs.uk/Downloads/Medicines%20Management/Practice%20resources%20and%20PGDs/Recording_SIDs_on_practice_clinical_system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guidance/ta419/resources/apremilast-for-treating-moderate-to-severe-plaque-psoriasis-8260461162387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uploads/system/uploads/attachment_data/file/584584/pdf_J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McDonagh, Andrew (Dermatology)</dc:creator>
  <cp:lastModifiedBy>Sharron Kebell</cp:lastModifiedBy>
  <cp:revision>2</cp:revision>
  <dcterms:created xsi:type="dcterms:W3CDTF">2017-03-14T08:57:00Z</dcterms:created>
  <dcterms:modified xsi:type="dcterms:W3CDTF">2017-03-14T08:57:00Z</dcterms:modified>
</cp:coreProperties>
</file>