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E7A5" w14:textId="3F169B57" w:rsidR="00240E10" w:rsidRPr="0090056E" w:rsidRDefault="0090056E" w:rsidP="00381AA9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90056E">
        <w:rPr>
          <w:b/>
          <w:bCs/>
          <w:i/>
          <w:iCs/>
          <w:color w:val="FF0000"/>
          <w:sz w:val="28"/>
          <w:szCs w:val="28"/>
        </w:rPr>
        <w:t>[Insert Practice Name Here]</w:t>
      </w:r>
    </w:p>
    <w:p w14:paraId="1473DC5C" w14:textId="272AA3DC" w:rsidR="00381AA9" w:rsidRPr="00381AA9" w:rsidRDefault="2D5C0A4E" w:rsidP="00381AA9">
      <w:pPr>
        <w:jc w:val="center"/>
      </w:pPr>
      <w:r w:rsidRPr="625DE85C">
        <w:rPr>
          <w:b/>
          <w:bCs/>
          <w:sz w:val="28"/>
          <w:szCs w:val="28"/>
        </w:rPr>
        <w:t>Standard Operating Procedure (</w:t>
      </w:r>
      <w:r w:rsidR="00C60ADD" w:rsidRPr="625DE85C">
        <w:rPr>
          <w:b/>
          <w:bCs/>
          <w:sz w:val="28"/>
          <w:szCs w:val="28"/>
        </w:rPr>
        <w:t>SOP</w:t>
      </w:r>
      <w:r w:rsidR="3179C5D1" w:rsidRPr="625DE85C">
        <w:rPr>
          <w:b/>
          <w:bCs/>
          <w:sz w:val="28"/>
          <w:szCs w:val="28"/>
        </w:rPr>
        <w:t>)</w:t>
      </w:r>
      <w:r w:rsidR="00C60ADD" w:rsidRPr="625DE85C">
        <w:rPr>
          <w:b/>
          <w:bCs/>
          <w:sz w:val="28"/>
          <w:szCs w:val="28"/>
        </w:rPr>
        <w:t xml:space="preserve"> </w:t>
      </w:r>
    </w:p>
    <w:p w14:paraId="28CAD521" w14:textId="448DDA6E" w:rsidR="00381AA9" w:rsidRPr="00381AA9" w:rsidRDefault="00C60ADD" w:rsidP="00381AA9">
      <w:pPr>
        <w:jc w:val="center"/>
        <w:rPr>
          <w:b/>
          <w:bCs/>
          <w:sz w:val="28"/>
          <w:szCs w:val="28"/>
        </w:rPr>
      </w:pPr>
      <w:r w:rsidRPr="625DE85C">
        <w:rPr>
          <w:b/>
          <w:bCs/>
          <w:sz w:val="28"/>
          <w:szCs w:val="28"/>
        </w:rPr>
        <w:t xml:space="preserve">for </w:t>
      </w:r>
      <w:r w:rsidR="00293DBF" w:rsidRPr="625DE85C">
        <w:rPr>
          <w:b/>
          <w:bCs/>
          <w:sz w:val="28"/>
          <w:szCs w:val="28"/>
        </w:rPr>
        <w:t>Initiating and Reviewing Opioids</w:t>
      </w:r>
      <w:r w:rsidR="2596B3D0" w:rsidRPr="625DE85C">
        <w:rPr>
          <w:b/>
          <w:bCs/>
          <w:sz w:val="28"/>
          <w:szCs w:val="28"/>
        </w:rPr>
        <w:t xml:space="preserve"> </w:t>
      </w:r>
      <w:r w:rsidR="00293DBF" w:rsidRPr="625DE85C">
        <w:rPr>
          <w:b/>
          <w:bCs/>
          <w:sz w:val="28"/>
          <w:szCs w:val="28"/>
        </w:rPr>
        <w:t>for Non-Cancer Pain</w:t>
      </w:r>
    </w:p>
    <w:p w14:paraId="6896D301" w14:textId="77777777" w:rsidR="00090307" w:rsidRDefault="00496FDB" w:rsidP="00665B44">
      <w:pPr>
        <w:rPr>
          <w:b/>
          <w:bCs/>
        </w:rPr>
      </w:pPr>
      <w:r w:rsidRPr="625DE85C">
        <w:rPr>
          <w:b/>
          <w:bCs/>
        </w:rPr>
        <w:t>Audience</w:t>
      </w:r>
    </w:p>
    <w:p w14:paraId="6AFA9C91" w14:textId="19DA8F04" w:rsidR="00E33AA6" w:rsidRDefault="00E33AA6" w:rsidP="00665B44">
      <w:r>
        <w:t>All clinicians involved</w:t>
      </w:r>
      <w:r w:rsidR="005D3341">
        <w:t xml:space="preserve"> in the </w:t>
      </w:r>
      <w:r>
        <w:t>prescri</w:t>
      </w:r>
      <w:r w:rsidR="00090307">
        <w:t>ption</w:t>
      </w:r>
      <w:r>
        <w:t xml:space="preserve"> and review</w:t>
      </w:r>
      <w:r w:rsidR="005D3341">
        <w:t xml:space="preserve"> of</w:t>
      </w:r>
      <w:r w:rsidR="00446099">
        <w:t xml:space="preserve"> opioids</w:t>
      </w:r>
      <w:r w:rsidR="00D54937">
        <w:t>.</w:t>
      </w:r>
      <w:r w:rsidR="00381AA9">
        <w:t xml:space="preserve">  </w:t>
      </w:r>
      <w:r w:rsidR="00633A9B">
        <w:t>All new starter</w:t>
      </w:r>
      <w:r w:rsidR="005952B1">
        <w:t xml:space="preserve"> clinicians</w:t>
      </w:r>
      <w:r w:rsidR="00633A9B">
        <w:t xml:space="preserve"> as part of induction.</w:t>
      </w:r>
    </w:p>
    <w:p w14:paraId="00B5F4E1" w14:textId="64DA6EDA" w:rsidR="0031081F" w:rsidRPr="0031081F" w:rsidRDefault="0031081F" w:rsidP="00665B44">
      <w:pPr>
        <w:rPr>
          <w:b/>
          <w:bCs/>
        </w:rPr>
      </w:pPr>
      <w:r w:rsidRPr="0031081F">
        <w:rPr>
          <w:b/>
          <w:bCs/>
        </w:rPr>
        <w:t>Purpose</w:t>
      </w:r>
    </w:p>
    <w:p w14:paraId="0A1E2454" w14:textId="1DC58DC3" w:rsidR="0031081F" w:rsidRDefault="0031081F" w:rsidP="0031081F">
      <w:r>
        <w:t>Th</w:t>
      </w:r>
      <w:r w:rsidR="00D20C11">
        <w:t xml:space="preserve">is SOP </w:t>
      </w:r>
      <w:r>
        <w:t>support</w:t>
      </w:r>
      <w:r w:rsidR="001C0ED9">
        <w:t>s</w:t>
      </w:r>
      <w:r>
        <w:t xml:space="preserve"> safe prescribing</w:t>
      </w:r>
      <w:r w:rsidR="259481C1">
        <w:t xml:space="preserve"> and</w:t>
      </w:r>
      <w:r>
        <w:t xml:space="preserve"> reduce</w:t>
      </w:r>
      <w:r w:rsidR="001C0ED9">
        <w:t>s</w:t>
      </w:r>
      <w:r>
        <w:t xml:space="preserve"> the risk of harm associated with prescribed opioid medication. </w:t>
      </w:r>
      <w:r w:rsidR="00FE3E14" w:rsidRPr="00FE3E14">
        <w:t xml:space="preserve">It is used alongside national and local guidance, including the </w:t>
      </w:r>
      <w:hyperlink r:id="rId11" w:history="1">
        <w:r w:rsidR="00FE3E14" w:rsidRPr="009435CE">
          <w:rPr>
            <w:rStyle w:val="Hyperlink"/>
          </w:rPr>
          <w:t>South Yorkshire Opioid Prescribing Resource</w:t>
        </w:r>
      </w:hyperlink>
      <w:r w:rsidR="00FE3E14" w:rsidRPr="00FE3E14">
        <w:t>, to ensure consistent, evidence</w:t>
      </w:r>
      <w:r w:rsidR="00FE3E14" w:rsidRPr="00FE3E14">
        <w:rPr>
          <w:rFonts w:ascii="Cambria Math" w:hAnsi="Cambria Math" w:cs="Cambria Math"/>
        </w:rPr>
        <w:t>‑</w:t>
      </w:r>
      <w:r w:rsidR="00FE3E14" w:rsidRPr="00FE3E14">
        <w:t>based practice.</w:t>
      </w:r>
    </w:p>
    <w:p w14:paraId="0C6A09F7" w14:textId="3A126A7B" w:rsidR="00C462E0" w:rsidRPr="003B4799" w:rsidRDefault="003B4799" w:rsidP="00665B44">
      <w:pPr>
        <w:rPr>
          <w:b/>
          <w:bCs/>
        </w:rPr>
      </w:pPr>
      <w:r w:rsidRPr="003B4799">
        <w:rPr>
          <w:b/>
          <w:bCs/>
        </w:rPr>
        <w:t>Background</w:t>
      </w:r>
    </w:p>
    <w:p w14:paraId="5244DF64" w14:textId="6B9C7789" w:rsidR="0031081F" w:rsidRPr="00B8285C" w:rsidRDefault="003B4799" w:rsidP="00B8285C">
      <w:pPr>
        <w:spacing w:after="0"/>
      </w:pPr>
      <w:r>
        <w:t xml:space="preserve">Pain </w:t>
      </w:r>
      <w:r w:rsidR="003947EB">
        <w:t>lasting</w:t>
      </w:r>
      <w:r>
        <w:t xml:space="preserve"> more than 3 months is </w:t>
      </w:r>
      <w:r w:rsidR="00546612">
        <w:t xml:space="preserve">defined </w:t>
      </w:r>
      <w:r>
        <w:t xml:space="preserve">as chronic or persistent pain.  </w:t>
      </w:r>
      <w:r w:rsidR="003827CB">
        <w:t>It is common</w:t>
      </w:r>
      <w:r w:rsidR="009C3F2E">
        <w:t xml:space="preserve">, affecting </w:t>
      </w:r>
      <w:r w:rsidR="003827CB">
        <w:t>between one-third and one-half of the UK population (</w:t>
      </w:r>
      <w:r w:rsidR="009C3F2E">
        <w:t xml:space="preserve">approximately </w:t>
      </w:r>
      <w:r w:rsidR="003827CB">
        <w:t>28 million adults)</w:t>
      </w:r>
      <w:r w:rsidR="2BFFAD61">
        <w:t xml:space="preserve"> at some point in </w:t>
      </w:r>
      <w:r w:rsidR="3B630AD0">
        <w:t>people's</w:t>
      </w:r>
      <w:r w:rsidR="2BFFAD61">
        <w:t xml:space="preserve"> lifetime</w:t>
      </w:r>
      <w:r w:rsidR="003827CB">
        <w:t xml:space="preserve">.   Chronic pain </w:t>
      </w:r>
      <w:r w:rsidR="004146F0">
        <w:t xml:space="preserve">may </w:t>
      </w:r>
      <w:r w:rsidR="0031081F">
        <w:t>be:</w:t>
      </w:r>
    </w:p>
    <w:p w14:paraId="25F77599" w14:textId="77777777" w:rsidR="00B8285C" w:rsidRPr="00B8285C" w:rsidRDefault="00B8285C" w:rsidP="00B8285C">
      <w:pPr>
        <w:pStyle w:val="pf1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="Arial"/>
        </w:rPr>
      </w:pPr>
      <w:r w:rsidRPr="00B8285C">
        <w:rPr>
          <w:rStyle w:val="cf11"/>
          <w:rFonts w:asciiTheme="minorHAnsi" w:eastAsiaTheme="majorEastAsia" w:hAnsiTheme="minorHAnsi"/>
          <w:sz w:val="24"/>
          <w:szCs w:val="24"/>
        </w:rPr>
        <w:t>Chronic secondary pain</w:t>
      </w:r>
      <w:r w:rsidRPr="00B8285C">
        <w:rPr>
          <w:rStyle w:val="cf01"/>
          <w:rFonts w:asciiTheme="minorHAnsi" w:eastAsiaTheme="majorEastAsia" w:hAnsiTheme="minorHAnsi"/>
          <w:sz w:val="24"/>
          <w:szCs w:val="24"/>
        </w:rPr>
        <w:t xml:space="preserve"> – associated with an underlying condition causing inflammation or tissue damage (e.g. arthritis)</w:t>
      </w:r>
    </w:p>
    <w:p w14:paraId="5F897800" w14:textId="3EDC2F0F" w:rsidR="003B4799" w:rsidRPr="00B8285C" w:rsidRDefault="00B8285C" w:rsidP="00665B44">
      <w:pPr>
        <w:pStyle w:val="pf1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="Arial"/>
        </w:rPr>
      </w:pPr>
      <w:r w:rsidRPr="00B8285C">
        <w:rPr>
          <w:rStyle w:val="cf11"/>
          <w:rFonts w:asciiTheme="minorHAnsi" w:eastAsiaTheme="majorEastAsia" w:hAnsiTheme="minorHAnsi"/>
          <w:sz w:val="24"/>
          <w:szCs w:val="24"/>
        </w:rPr>
        <w:t>Chronic primary pain</w:t>
      </w:r>
      <w:r w:rsidRPr="00B8285C">
        <w:rPr>
          <w:rStyle w:val="cf01"/>
          <w:rFonts w:asciiTheme="minorHAnsi" w:eastAsiaTheme="majorEastAsia" w:hAnsiTheme="minorHAnsi"/>
          <w:sz w:val="24"/>
          <w:szCs w:val="24"/>
        </w:rPr>
        <w:t xml:space="preserve"> – pain without clear ongoing tissue damage, or disproportionate to findings (e.g. fibromyalgia)</w:t>
      </w:r>
      <w:r w:rsidR="004D2CC9">
        <w:t xml:space="preserve"> </w:t>
      </w:r>
      <w:r w:rsidR="00A739CC">
        <w:t xml:space="preserve">- </w:t>
      </w:r>
      <w:hyperlink r:id="rId12" w:history="1">
        <w:r w:rsidR="00181B61" w:rsidRPr="007D1B9A">
          <w:rPr>
            <w:rStyle w:val="Hyperlink"/>
            <w:rFonts w:asciiTheme="majorHAnsi" w:hAnsiTheme="majorHAnsi"/>
          </w:rPr>
          <w:t>NICE patient decision aid</w:t>
        </w:r>
      </w:hyperlink>
      <w:r w:rsidRPr="007D1B9A">
        <w:rPr>
          <w:rFonts w:asciiTheme="majorHAnsi" w:hAnsiTheme="majorHAnsi"/>
        </w:rPr>
        <w:t>.</w:t>
      </w:r>
    </w:p>
    <w:p w14:paraId="2170FB37" w14:textId="73E0DDC7" w:rsidR="004D2CC9" w:rsidRDefault="004D2CC9" w:rsidP="625DE85C">
      <w:r>
        <w:t xml:space="preserve">Pain is complex and many factors </w:t>
      </w:r>
      <w:r w:rsidR="00C7504E">
        <w:t>can affect or be affected by pain</w:t>
      </w:r>
      <w:r w:rsidR="00533C40">
        <w:t xml:space="preserve">, </w:t>
      </w:r>
      <w:r w:rsidR="00357534">
        <w:t>including</w:t>
      </w:r>
      <w:r w:rsidR="008A3904">
        <w:t xml:space="preserve"> </w:t>
      </w:r>
      <w:r w:rsidR="00533C40">
        <w:t xml:space="preserve">work, </w:t>
      </w:r>
      <w:r w:rsidR="00633A9B">
        <w:t>leisure</w:t>
      </w:r>
      <w:r w:rsidR="00533C40">
        <w:t xml:space="preserve"> time, relationships</w:t>
      </w:r>
      <w:r w:rsidR="008A3904">
        <w:t xml:space="preserve">, </w:t>
      </w:r>
      <w:r w:rsidR="00533C40">
        <w:t>sleep</w:t>
      </w:r>
      <w:r w:rsidR="008A3904">
        <w:t xml:space="preserve"> and mood</w:t>
      </w:r>
      <w:r w:rsidR="002547F5">
        <w:t xml:space="preserve">.  Management of chronic pain </w:t>
      </w:r>
      <w:r w:rsidR="00ED15C5">
        <w:t>is</w:t>
      </w:r>
      <w:r w:rsidR="002547F5">
        <w:t xml:space="preserve"> individualised</w:t>
      </w:r>
      <w:r w:rsidR="00682F5B">
        <w:t xml:space="preserve">. It may not be possible to </w:t>
      </w:r>
      <w:r w:rsidR="00633A9B">
        <w:t>eliminate</w:t>
      </w:r>
      <w:r w:rsidR="00682F5B">
        <w:t xml:space="preserve"> pain</w:t>
      </w:r>
      <w:r w:rsidR="0013092F">
        <w:t>,</w:t>
      </w:r>
      <w:r w:rsidR="00682F5B">
        <w:t xml:space="preserve"> </w:t>
      </w:r>
      <w:r w:rsidR="00BF318E">
        <w:t>but</w:t>
      </w:r>
      <w:r w:rsidR="002547F5">
        <w:t xml:space="preserve"> focus</w:t>
      </w:r>
      <w:r w:rsidR="00AC49CC">
        <w:t>ing</w:t>
      </w:r>
      <w:r w:rsidR="002547F5">
        <w:t xml:space="preserve"> on self-management</w:t>
      </w:r>
      <w:r w:rsidR="008A3904">
        <w:t xml:space="preserve"> and maintaining daily function </w:t>
      </w:r>
      <w:r w:rsidR="00BF318E">
        <w:t>ca</w:t>
      </w:r>
      <w:r w:rsidR="00AC49CC">
        <w:t xml:space="preserve">n improve </w:t>
      </w:r>
      <w:r w:rsidR="008A3904">
        <w:t>quality of life</w:t>
      </w:r>
      <w:r w:rsidR="00AC49CC">
        <w:t>.</w:t>
      </w:r>
    </w:p>
    <w:p w14:paraId="220AA6A1" w14:textId="1D8C25F3" w:rsidR="00C85DB5" w:rsidRDefault="00870CD3" w:rsidP="00665B44">
      <w:r>
        <w:t>Current evidence indicates opioids are generally ineffective for most individuals with chronic pain and carry substantial safety risks</w:t>
      </w:r>
      <w:r w:rsidR="00762586">
        <w:t>, especially when used long-term</w:t>
      </w:r>
      <w:r w:rsidR="00AB0ED7">
        <w:t xml:space="preserve"> (e.g. </w:t>
      </w:r>
      <w:r>
        <w:t xml:space="preserve"> </w:t>
      </w:r>
      <w:r w:rsidR="002C4621">
        <w:t xml:space="preserve">tolerance, </w:t>
      </w:r>
      <w:r>
        <w:t xml:space="preserve">dependence, overdose, </w:t>
      </w:r>
      <w:r w:rsidR="002C4621">
        <w:t>hormone and immune system effects, hyperalgesia, increased risk of falls, cognit</w:t>
      </w:r>
      <w:r w:rsidR="00EF5679">
        <w:t>i</w:t>
      </w:r>
      <w:r w:rsidR="002C4621">
        <w:t>ve impairment</w:t>
      </w:r>
      <w:r w:rsidR="00AB0ED7">
        <w:t>)</w:t>
      </w:r>
      <w:r>
        <w:t>. A patient-</w:t>
      </w:r>
      <w:r w:rsidR="00901C20">
        <w:t>centred</w:t>
      </w:r>
      <w:r>
        <w:t>, function-focused approach to pain management, prioriti</w:t>
      </w:r>
      <w:r w:rsidR="1369B0A8">
        <w:t>s</w:t>
      </w:r>
      <w:r>
        <w:t xml:space="preserve">ing non-opioid therapies and informed decision-making </w:t>
      </w:r>
      <w:r w:rsidR="00002716">
        <w:t>is</w:t>
      </w:r>
      <w:r>
        <w:t xml:space="preserve"> taken</w:t>
      </w:r>
      <w:r w:rsidR="007B2AF5">
        <w:t xml:space="preserve">.  </w:t>
      </w:r>
    </w:p>
    <w:p w14:paraId="7847D681" w14:textId="7362E486" w:rsidR="00E40CA7" w:rsidRDefault="00FA10AC" w:rsidP="00E40CA7">
      <w:pPr>
        <w:spacing w:after="0" w:line="240" w:lineRule="auto"/>
      </w:pPr>
      <w:r>
        <w:t>N</w:t>
      </w:r>
      <w:r w:rsidR="00CD70A9">
        <w:t xml:space="preserve">on-pharmacological resources and patient information e.g. </w:t>
      </w:r>
      <w:r w:rsidR="00555F8A">
        <w:t xml:space="preserve">MHRA: </w:t>
      </w:r>
      <w:hyperlink r:id="rId13" w:history="1">
        <w:r w:rsidR="00DA1C6A">
          <w:rPr>
            <w:rStyle w:val="Hyperlink"/>
          </w:rPr>
          <w:t>Opioid Medicines And The Risk Of Addiction</w:t>
        </w:r>
      </w:hyperlink>
      <w:r w:rsidR="00CC54B3">
        <w:t xml:space="preserve"> an</w:t>
      </w:r>
      <w:r w:rsidR="000F20FE">
        <w:t xml:space="preserve">d </w:t>
      </w:r>
      <w:hyperlink r:id="rId14" w:history="1">
        <w:r w:rsidR="000F20FE" w:rsidRPr="00CF30E2">
          <w:rPr>
            <w:rStyle w:val="Hyperlink"/>
          </w:rPr>
          <w:t>Driving and Pain</w:t>
        </w:r>
      </w:hyperlink>
      <w:r w:rsidR="00EA6207">
        <w:t xml:space="preserve"> are shared with patients where applicable</w:t>
      </w:r>
      <w:r w:rsidR="000F20FE">
        <w:t>.</w:t>
      </w:r>
    </w:p>
    <w:p w14:paraId="2724CA4F" w14:textId="77777777" w:rsidR="00E40CA7" w:rsidRDefault="00E40CA7" w:rsidP="00E40CA7">
      <w:pPr>
        <w:spacing w:after="0" w:line="240" w:lineRule="auto"/>
      </w:pPr>
    </w:p>
    <w:p w14:paraId="34E25EF7" w14:textId="2BB881D9" w:rsidR="00707C44" w:rsidRPr="00E0620F" w:rsidRDefault="00B27BFF" w:rsidP="00707C44">
      <w:r w:rsidRPr="00E0620F">
        <w:lastRenderedPageBreak/>
        <w:t xml:space="preserve">Our practice </w:t>
      </w:r>
      <w:r w:rsidR="00165385">
        <w:t>prescribes</w:t>
      </w:r>
      <w:r w:rsidRPr="00E0620F">
        <w:t xml:space="preserve"> in</w:t>
      </w:r>
      <w:r w:rsidR="00165385">
        <w:t xml:space="preserve"> </w:t>
      </w:r>
      <w:r w:rsidRPr="00E0620F">
        <w:t xml:space="preserve">line with </w:t>
      </w:r>
      <w:r w:rsidR="00165385">
        <w:t xml:space="preserve">the </w:t>
      </w:r>
      <w:hyperlink r:id="rId15">
        <w:r w:rsidR="0032166F">
          <w:rPr>
            <w:rStyle w:val="Hyperlink"/>
          </w:rPr>
          <w:t>FPM Opioids Aware</w:t>
        </w:r>
      </w:hyperlink>
      <w:r w:rsidR="0032166F">
        <w:t xml:space="preserve"> campaign’s </w:t>
      </w:r>
      <w:r w:rsidR="00707C44" w:rsidRPr="00E0620F">
        <w:t xml:space="preserve">oral morphine equivalent (OME) threshold </w:t>
      </w:r>
      <w:r w:rsidR="00B80FCA" w:rsidRPr="00E0620F">
        <w:t>of 90</w:t>
      </w:r>
      <w:r w:rsidR="00355A80" w:rsidRPr="00E0620F">
        <w:t>mg day</w:t>
      </w:r>
      <w:r w:rsidR="00230EF2">
        <w:t xml:space="preserve">, </w:t>
      </w:r>
      <w:r w:rsidR="00230EF2" w:rsidRPr="00230EF2">
        <w:t xml:space="preserve">with an ideal limit of 50mg/day. </w:t>
      </w:r>
      <w:r w:rsidR="00355A80" w:rsidRPr="00E0620F">
        <w:t xml:space="preserve"> </w:t>
      </w:r>
      <w:r w:rsidR="00230EF2">
        <w:t>T</w:t>
      </w:r>
      <w:r w:rsidR="00355A80" w:rsidRPr="00E0620F">
        <w:t xml:space="preserve">his was reduced </w:t>
      </w:r>
      <w:r w:rsidR="00707C44" w:rsidRPr="00E0620F">
        <w:t>from 120mg</w:t>
      </w:r>
      <w:r w:rsidR="00355A80" w:rsidRPr="00E0620F">
        <w:t xml:space="preserve">/day due to new evidence highlighting increased harm </w:t>
      </w:r>
      <w:r w:rsidR="00AB6DB5">
        <w:t>these high</w:t>
      </w:r>
      <w:r w:rsidR="00355A80" w:rsidRPr="00E0620F">
        <w:t xml:space="preserve"> doses</w:t>
      </w:r>
      <w:r w:rsidR="00AB6DB5">
        <w:t>,</w:t>
      </w:r>
      <w:r w:rsidR="00355A80" w:rsidRPr="00E0620F">
        <w:t xml:space="preserve"> without proportional benefit. </w:t>
      </w:r>
    </w:p>
    <w:p w14:paraId="760A6E6B" w14:textId="06762723" w:rsidR="001D6936" w:rsidRPr="005B5B50" w:rsidRDefault="00633A9B" w:rsidP="001D6936">
      <w:pPr>
        <w:rPr>
          <w:b/>
          <w:bCs/>
        </w:rPr>
      </w:pPr>
      <w:r w:rsidRPr="625DE85C">
        <w:rPr>
          <w:b/>
          <w:bCs/>
        </w:rPr>
        <w:t xml:space="preserve">Recommended </w:t>
      </w:r>
      <w:r w:rsidR="001D6936" w:rsidRPr="625DE85C">
        <w:rPr>
          <w:b/>
          <w:bCs/>
        </w:rPr>
        <w:t>General Practice Standards:</w:t>
      </w:r>
    </w:p>
    <w:p w14:paraId="093AFC01" w14:textId="1C25234B" w:rsidR="001D6936" w:rsidRDefault="00B87259" w:rsidP="001D6936">
      <w:pPr>
        <w:pStyle w:val="ListParagraph"/>
        <w:numPr>
          <w:ilvl w:val="0"/>
          <w:numId w:val="12"/>
        </w:numPr>
      </w:pPr>
      <w:r>
        <w:rPr>
          <w:b/>
          <w:bCs/>
        </w:rPr>
        <w:t>Use a</w:t>
      </w:r>
      <w:r w:rsidR="001D6936" w:rsidRPr="625DE85C">
        <w:rPr>
          <w:b/>
          <w:bCs/>
        </w:rPr>
        <w:t xml:space="preserve"> shared decision-making approach</w:t>
      </w:r>
      <w:r w:rsidR="001D6936">
        <w:t xml:space="preserve">.  If the </w:t>
      </w:r>
      <w:r w:rsidR="0017364C">
        <w:t xml:space="preserve">clinician </w:t>
      </w:r>
      <w:r w:rsidR="001D6936">
        <w:t xml:space="preserve">does not </w:t>
      </w:r>
      <w:r w:rsidR="00633A9B">
        <w:t>believe</w:t>
      </w:r>
      <w:r w:rsidR="001D6936">
        <w:t xml:space="preserve"> it is in the patient</w:t>
      </w:r>
      <w:r w:rsidR="00633A9B">
        <w:t>’</w:t>
      </w:r>
      <w:r w:rsidR="00E13C09">
        <w:t>s</w:t>
      </w:r>
      <w:r w:rsidR="001D6936">
        <w:t xml:space="preserve"> best interest to prescribe, </w:t>
      </w:r>
      <w:r w:rsidR="00385FB4">
        <w:t xml:space="preserve">do not issue </w:t>
      </w:r>
      <w:r w:rsidR="001D6936">
        <w:t>a prescription</w:t>
      </w:r>
      <w:r w:rsidR="00633A9B">
        <w:t xml:space="preserve"> and </w:t>
      </w:r>
      <w:r w:rsidR="00385FB4">
        <w:t xml:space="preserve">clearly document </w:t>
      </w:r>
      <w:r w:rsidR="00633A9B">
        <w:t>the rationale</w:t>
      </w:r>
      <w:r w:rsidR="001D6936">
        <w:t xml:space="preserve">. </w:t>
      </w:r>
      <w:r w:rsidR="007F5C0F">
        <w:t xml:space="preserve"> Where </w:t>
      </w:r>
      <w:r w:rsidR="001D6936">
        <w:t xml:space="preserve">the decision to </w:t>
      </w:r>
      <w:proofErr w:type="gramStart"/>
      <w:r w:rsidR="001D6936">
        <w:t>prescribe</w:t>
      </w:r>
      <w:proofErr w:type="gramEnd"/>
      <w:r w:rsidR="001D6936">
        <w:t xml:space="preserve"> an opioid is </w:t>
      </w:r>
      <w:r w:rsidR="007F5C0F">
        <w:t xml:space="preserve">made following </w:t>
      </w:r>
      <w:r w:rsidR="001D6936">
        <w:t>a shared discussion of goals, plans, risks and benefits, a</w:t>
      </w:r>
      <w:r w:rsidR="007F0C91">
        <w:t xml:space="preserve">gree and document a </w:t>
      </w:r>
      <w:r w:rsidR="001D6936">
        <w:t>treatment plan</w:t>
      </w:r>
      <w:r w:rsidR="72CEF1B4">
        <w:t>, includ</w:t>
      </w:r>
      <w:r w:rsidR="001651C8">
        <w:t>ing the</w:t>
      </w:r>
      <w:r w:rsidR="72CEF1B4">
        <w:t xml:space="preserve"> expected duration of treatment</w:t>
      </w:r>
      <w:r w:rsidR="001D6936">
        <w:t xml:space="preserve">. </w:t>
      </w:r>
    </w:p>
    <w:p w14:paraId="2863A405" w14:textId="423730A1" w:rsidR="001D6936" w:rsidRDefault="001651C8" w:rsidP="001D6936">
      <w:pPr>
        <w:pStyle w:val="ListParagraph"/>
        <w:numPr>
          <w:ilvl w:val="0"/>
          <w:numId w:val="12"/>
        </w:numPr>
      </w:pPr>
      <w:r>
        <w:rPr>
          <w:b/>
          <w:bCs/>
        </w:rPr>
        <w:t>Ask p</w:t>
      </w:r>
      <w:r w:rsidR="001D6936">
        <w:rPr>
          <w:b/>
          <w:bCs/>
        </w:rPr>
        <w:t xml:space="preserve">atients </w:t>
      </w:r>
      <w:r w:rsidR="001D6936" w:rsidRPr="005B5B50">
        <w:rPr>
          <w:b/>
          <w:bCs/>
        </w:rPr>
        <w:t>to confirm a treatment agreement</w:t>
      </w:r>
      <w:r w:rsidR="00D16000">
        <w:t>,</w:t>
      </w:r>
      <w:r w:rsidR="00665C01">
        <w:t xml:space="preserve"> </w:t>
      </w:r>
      <w:r w:rsidR="00890246">
        <w:t>outlin</w:t>
      </w:r>
      <w:r>
        <w:t>ing</w:t>
      </w:r>
      <w:r w:rsidR="00F90A7C">
        <w:t xml:space="preserve"> their</w:t>
      </w:r>
      <w:r w:rsidR="001D6936" w:rsidRPr="005B5B50">
        <w:t xml:space="preserve"> responsibilities when taking a </w:t>
      </w:r>
      <w:r w:rsidR="00D16000">
        <w:t>dependency-forming medic</w:t>
      </w:r>
      <w:r w:rsidR="00B614D9">
        <w:t>ine</w:t>
      </w:r>
      <w:r w:rsidR="001D6936" w:rsidRPr="005B5B50">
        <w:t xml:space="preserve"> and the</w:t>
      </w:r>
      <w:r w:rsidR="00F90A7C">
        <w:t xml:space="preserve"> expected </w:t>
      </w:r>
      <w:r w:rsidR="001D6936" w:rsidRPr="005B5B50">
        <w:t>standards of behaviour</w:t>
      </w:r>
      <w:r w:rsidR="001D3D56">
        <w:t xml:space="preserve"> </w:t>
      </w:r>
      <w:r w:rsidR="00F90A7C">
        <w:t>(e.g. c</w:t>
      </w:r>
      <w:r w:rsidR="001D6936" w:rsidRPr="005B5B50">
        <w:t xml:space="preserve">onsider </w:t>
      </w:r>
      <w:r w:rsidR="00F90A7C">
        <w:t xml:space="preserve">the </w:t>
      </w:r>
      <w:r w:rsidR="001D6936" w:rsidRPr="005B5B50">
        <w:t>Ardens Opioid Agreement</w:t>
      </w:r>
      <w:r w:rsidR="00152457">
        <w:t xml:space="preserve"> template</w:t>
      </w:r>
      <w:r w:rsidR="00F90A7C">
        <w:t>)</w:t>
      </w:r>
      <w:r w:rsidR="001D6936" w:rsidRPr="005B5B50">
        <w:t>.</w:t>
      </w:r>
    </w:p>
    <w:p w14:paraId="11980A71" w14:textId="48592FDB" w:rsidR="001D6936" w:rsidRDefault="00F90A7C" w:rsidP="001D6936">
      <w:pPr>
        <w:pStyle w:val="ListParagraph"/>
        <w:numPr>
          <w:ilvl w:val="0"/>
          <w:numId w:val="12"/>
        </w:numPr>
      </w:pPr>
      <w:r>
        <w:rPr>
          <w:b/>
          <w:bCs/>
        </w:rPr>
        <w:t>Consider r</w:t>
      </w:r>
      <w:r w:rsidR="001D6936" w:rsidRPr="625DE85C">
        <w:rPr>
          <w:b/>
          <w:bCs/>
        </w:rPr>
        <w:t xml:space="preserve">eferral for ongoing care for all or part of the </w:t>
      </w:r>
      <w:r w:rsidR="00633A9B" w:rsidRPr="625DE85C">
        <w:rPr>
          <w:b/>
          <w:bCs/>
        </w:rPr>
        <w:t>patient’s</w:t>
      </w:r>
      <w:r w:rsidR="001D6936" w:rsidRPr="625DE85C">
        <w:rPr>
          <w:b/>
          <w:bCs/>
        </w:rPr>
        <w:t xml:space="preserve"> healthcare</w:t>
      </w:r>
      <w:r w:rsidR="00B95544">
        <w:rPr>
          <w:b/>
          <w:bCs/>
        </w:rPr>
        <w:t>,</w:t>
      </w:r>
      <w:r w:rsidR="00351906" w:rsidRPr="625DE85C">
        <w:rPr>
          <w:b/>
          <w:bCs/>
        </w:rPr>
        <w:t xml:space="preserve"> </w:t>
      </w:r>
      <w:r w:rsidR="00351906">
        <w:t xml:space="preserve">depending on </w:t>
      </w:r>
      <w:r w:rsidR="00397752">
        <w:t>pain</w:t>
      </w:r>
      <w:r w:rsidR="006F5E31" w:rsidRPr="625DE85C">
        <w:rPr>
          <w:b/>
          <w:bCs/>
        </w:rPr>
        <w:t xml:space="preserve"> </w:t>
      </w:r>
      <w:r w:rsidR="002E78C3">
        <w:t xml:space="preserve">complexity </w:t>
      </w:r>
      <w:r w:rsidR="00463C88">
        <w:t>and individual needs</w:t>
      </w:r>
      <w:r w:rsidR="002E78C3">
        <w:t>.</w:t>
      </w:r>
    </w:p>
    <w:p w14:paraId="10D5547D" w14:textId="38D7A612" w:rsidR="001D6936" w:rsidRPr="0086006F" w:rsidRDefault="00B95544" w:rsidP="001D6936">
      <w:pPr>
        <w:pStyle w:val="ListParagraph"/>
        <w:numPr>
          <w:ilvl w:val="0"/>
          <w:numId w:val="12"/>
        </w:numPr>
      </w:pPr>
      <w:r>
        <w:rPr>
          <w:b/>
          <w:bCs/>
        </w:rPr>
        <w:t>Offer n</w:t>
      </w:r>
      <w:r w:rsidR="574470E6" w:rsidRPr="625DE85C">
        <w:rPr>
          <w:b/>
          <w:bCs/>
        </w:rPr>
        <w:t>on-pharmacological support / advice a</w:t>
      </w:r>
      <w:r w:rsidR="00B14FA0" w:rsidRPr="625DE85C">
        <w:rPr>
          <w:b/>
          <w:bCs/>
        </w:rPr>
        <w:t>t each review</w:t>
      </w:r>
      <w:r w:rsidR="7ED8250C" w:rsidRPr="625DE85C">
        <w:rPr>
          <w:b/>
          <w:bCs/>
        </w:rPr>
        <w:t xml:space="preserve"> irrespective of whether </w:t>
      </w:r>
      <w:r w:rsidR="7FF821EF" w:rsidRPr="625DE85C">
        <w:rPr>
          <w:b/>
          <w:bCs/>
        </w:rPr>
        <w:t xml:space="preserve">a prescription is issued.  </w:t>
      </w:r>
      <w:r w:rsidR="00FF672A">
        <w:rPr>
          <w:b/>
          <w:bCs/>
        </w:rPr>
        <w:t>Discuss s</w:t>
      </w:r>
      <w:r w:rsidR="00B14FA0" w:rsidRPr="625DE85C">
        <w:rPr>
          <w:b/>
          <w:bCs/>
        </w:rPr>
        <w:t xml:space="preserve">elf-management strategies </w:t>
      </w:r>
      <w:r w:rsidR="00FF672A">
        <w:rPr>
          <w:b/>
          <w:bCs/>
        </w:rPr>
        <w:t>that</w:t>
      </w:r>
      <w:r w:rsidR="00B14FA0" w:rsidRPr="625DE85C">
        <w:rPr>
          <w:b/>
          <w:bCs/>
        </w:rPr>
        <w:t xml:space="preserve"> encourag</w:t>
      </w:r>
      <w:r w:rsidR="00FF672A">
        <w:rPr>
          <w:b/>
          <w:bCs/>
        </w:rPr>
        <w:t>e</w:t>
      </w:r>
      <w:r w:rsidR="00A52034">
        <w:rPr>
          <w:b/>
          <w:bCs/>
        </w:rPr>
        <w:t xml:space="preserve"> </w:t>
      </w:r>
      <w:r w:rsidR="00B14FA0" w:rsidRPr="625DE85C">
        <w:rPr>
          <w:b/>
          <w:bCs/>
        </w:rPr>
        <w:t>appropriate physical activity</w:t>
      </w:r>
      <w:r w:rsidR="00CB7973">
        <w:rPr>
          <w:b/>
          <w:bCs/>
        </w:rPr>
        <w:t xml:space="preserve">, </w:t>
      </w:r>
      <w:r w:rsidR="00B14FA0" w:rsidRPr="625DE85C">
        <w:rPr>
          <w:b/>
          <w:bCs/>
        </w:rPr>
        <w:t>provid</w:t>
      </w:r>
      <w:r w:rsidR="00CB7973">
        <w:rPr>
          <w:b/>
          <w:bCs/>
        </w:rPr>
        <w:t>e</w:t>
      </w:r>
      <w:r w:rsidR="00B14FA0" w:rsidRPr="625DE85C">
        <w:rPr>
          <w:b/>
          <w:bCs/>
        </w:rPr>
        <w:t xml:space="preserve"> reassurance </w:t>
      </w:r>
      <w:r w:rsidR="00CB7973">
        <w:rPr>
          <w:b/>
          <w:bCs/>
        </w:rPr>
        <w:t xml:space="preserve">about </w:t>
      </w:r>
      <w:r w:rsidR="00B14FA0" w:rsidRPr="625DE85C">
        <w:rPr>
          <w:b/>
          <w:bCs/>
        </w:rPr>
        <w:t>the safety of movement</w:t>
      </w:r>
      <w:r w:rsidR="00CB7973">
        <w:rPr>
          <w:b/>
          <w:bCs/>
        </w:rPr>
        <w:t xml:space="preserve"> and </w:t>
      </w:r>
      <w:r w:rsidR="00A52034">
        <w:rPr>
          <w:b/>
          <w:bCs/>
        </w:rPr>
        <w:t>signpost</w:t>
      </w:r>
      <w:r w:rsidR="00CB7973">
        <w:rPr>
          <w:b/>
          <w:bCs/>
        </w:rPr>
        <w:t xml:space="preserve"> </w:t>
      </w:r>
      <w:r w:rsidR="00B14FA0" w:rsidRPr="625DE85C">
        <w:rPr>
          <w:b/>
          <w:bCs/>
        </w:rPr>
        <w:t>to relevant health and wellbeing services</w:t>
      </w:r>
      <w:r w:rsidR="009A73F5" w:rsidRPr="625DE85C">
        <w:rPr>
          <w:b/>
          <w:bCs/>
        </w:rPr>
        <w:t>.</w:t>
      </w:r>
    </w:p>
    <w:p w14:paraId="6317052B" w14:textId="21A96E74" w:rsidR="001D6936" w:rsidRDefault="00686421" w:rsidP="001D6936">
      <w:pPr>
        <w:pStyle w:val="ListParagraph"/>
        <w:numPr>
          <w:ilvl w:val="0"/>
          <w:numId w:val="12"/>
        </w:numPr>
      </w:pPr>
      <w:r>
        <w:t xml:space="preserve">Remind </w:t>
      </w:r>
      <w:r w:rsidR="008E7D7A">
        <w:t xml:space="preserve">suitable </w:t>
      </w:r>
      <w:r>
        <w:t>p</w:t>
      </w:r>
      <w:r w:rsidR="001D6936" w:rsidRPr="005B5B50">
        <w:t xml:space="preserve">atients that </w:t>
      </w:r>
      <w:r w:rsidR="006A0523">
        <w:t xml:space="preserve">the practice has </w:t>
      </w:r>
      <w:r w:rsidR="001D6936" w:rsidRPr="005B5B50">
        <w:t xml:space="preserve">a </w:t>
      </w:r>
      <w:r w:rsidR="00A52034" w:rsidRPr="003F3792">
        <w:rPr>
          <w:b/>
          <w:bCs/>
        </w:rPr>
        <w:t>zero-tolerance</w:t>
      </w:r>
      <w:r w:rsidR="001D6936" w:rsidRPr="003F3792">
        <w:rPr>
          <w:b/>
          <w:bCs/>
        </w:rPr>
        <w:t xml:space="preserve"> policy</w:t>
      </w:r>
      <w:r w:rsidR="001D6936" w:rsidRPr="005B5B50">
        <w:t xml:space="preserve"> </w:t>
      </w:r>
      <w:r w:rsidR="001849C3">
        <w:t>regarding</w:t>
      </w:r>
      <w:r w:rsidR="001D6936" w:rsidRPr="005B5B50">
        <w:t xml:space="preserve"> staff abuse. Any threats </w:t>
      </w:r>
      <w:r w:rsidR="001849C3">
        <w:t xml:space="preserve">or abusive behaviour </w:t>
      </w:r>
      <w:r w:rsidR="003B6FE5">
        <w:t xml:space="preserve">towards </w:t>
      </w:r>
      <w:r w:rsidR="001D6936" w:rsidRPr="005B5B50">
        <w:t>staff result in transfer of care.</w:t>
      </w:r>
    </w:p>
    <w:p w14:paraId="6E9964A8" w14:textId="77777777" w:rsidR="00C61C5C" w:rsidRPr="008E7D7A" w:rsidRDefault="00C61C5C" w:rsidP="00665B44">
      <w:pPr>
        <w:rPr>
          <w:b/>
          <w:bCs/>
          <w:u w:val="single"/>
        </w:rPr>
      </w:pPr>
      <w:r w:rsidRPr="008E7D7A">
        <w:rPr>
          <w:b/>
          <w:bCs/>
          <w:u w:val="single"/>
        </w:rPr>
        <w:t>Opioid Prescribing</w:t>
      </w:r>
    </w:p>
    <w:p w14:paraId="14732FF2" w14:textId="1D487A1B" w:rsidR="005B5B50" w:rsidRPr="005B5B50" w:rsidRDefault="00507117" w:rsidP="00665B44">
      <w:pPr>
        <w:rPr>
          <w:b/>
          <w:bCs/>
        </w:rPr>
      </w:pPr>
      <w:r>
        <w:rPr>
          <w:b/>
          <w:bCs/>
        </w:rPr>
        <w:t>Initiating</w:t>
      </w:r>
      <w:r w:rsidR="005B5B50" w:rsidRPr="005B5B50">
        <w:rPr>
          <w:b/>
          <w:bCs/>
        </w:rPr>
        <w:t xml:space="preserve"> </w:t>
      </w:r>
      <w:r w:rsidR="008E7D7A">
        <w:rPr>
          <w:b/>
          <w:bCs/>
        </w:rPr>
        <w:t>Opioids:</w:t>
      </w:r>
    </w:p>
    <w:p w14:paraId="3B975D6D" w14:textId="43879188" w:rsidR="00507117" w:rsidRDefault="00E62A84" w:rsidP="00665B44">
      <w:pPr>
        <w:pStyle w:val="ListParagraph"/>
        <w:numPr>
          <w:ilvl w:val="0"/>
          <w:numId w:val="5"/>
        </w:numPr>
      </w:pPr>
      <w:r>
        <w:t>Do not initiate o</w:t>
      </w:r>
      <w:r w:rsidR="009F7AE9">
        <w:t>pioids for</w:t>
      </w:r>
      <w:r w:rsidR="002349ED" w:rsidRPr="002349ED">
        <w:t xml:space="preserve"> </w:t>
      </w:r>
      <w:r w:rsidR="00A51526">
        <w:t xml:space="preserve">chronic </w:t>
      </w:r>
      <w:r w:rsidR="002349ED" w:rsidRPr="002349ED">
        <w:t>primary</w:t>
      </w:r>
      <w:r>
        <w:t xml:space="preserve"> pain</w:t>
      </w:r>
      <w:r w:rsidR="002349ED" w:rsidRPr="002349ED">
        <w:t xml:space="preserve">. </w:t>
      </w:r>
    </w:p>
    <w:p w14:paraId="6AC99002" w14:textId="43FDE348" w:rsidR="00665B44" w:rsidRDefault="007E4637" w:rsidP="00665B44">
      <w:pPr>
        <w:pStyle w:val="ListParagraph"/>
        <w:numPr>
          <w:ilvl w:val="0"/>
          <w:numId w:val="5"/>
        </w:numPr>
      </w:pPr>
      <w:r>
        <w:t>Avoid initiating an</w:t>
      </w:r>
      <w:r w:rsidR="00885AE0">
        <w:t xml:space="preserve"> opioid </w:t>
      </w:r>
      <w:r w:rsidR="00665B44">
        <w:t xml:space="preserve"> in chronic secondary pai</w:t>
      </w:r>
      <w:r>
        <w:t xml:space="preserve">n </w:t>
      </w:r>
      <w:r w:rsidR="00665B44">
        <w:t>where possible</w:t>
      </w:r>
      <w:r w:rsidR="005B5B50">
        <w:t xml:space="preserve"> (see </w:t>
      </w:r>
      <w:hyperlink r:id="rId16" w:history="1">
        <w:r w:rsidR="00DC384B">
          <w:rPr>
            <w:rStyle w:val="Hyperlink"/>
          </w:rPr>
          <w:t>SY ICB Opioid Prescribing Resource</w:t>
        </w:r>
      </w:hyperlink>
      <w:r w:rsidR="005B5B50">
        <w:t xml:space="preserve"> page 7 for </w:t>
      </w:r>
      <w:r w:rsidR="00DC384B">
        <w:t xml:space="preserve">summary of </w:t>
      </w:r>
      <w:r w:rsidR="005B5B50">
        <w:t>NICE recommendations on opioid use in secondary pain)</w:t>
      </w:r>
      <w:r w:rsidR="003471A1">
        <w:t xml:space="preserve">. </w:t>
      </w:r>
      <w:r w:rsidR="00665B44">
        <w:t xml:space="preserve">If </w:t>
      </w:r>
      <w:r w:rsidR="003471A1">
        <w:t xml:space="preserve">a </w:t>
      </w:r>
      <w:r w:rsidR="00894D37">
        <w:t xml:space="preserve">short </w:t>
      </w:r>
      <w:r w:rsidR="003471A1">
        <w:t xml:space="preserve">trial of </w:t>
      </w:r>
      <w:r w:rsidR="00665B44">
        <w:t>opi</w:t>
      </w:r>
      <w:r w:rsidR="008A4B55">
        <w:t>oid</w:t>
      </w:r>
      <w:r w:rsidR="00665B44">
        <w:t xml:space="preserve"> </w:t>
      </w:r>
      <w:r w:rsidR="003471A1" w:rsidRPr="005B5B50">
        <w:rPr>
          <w:i/>
          <w:iCs/>
        </w:rPr>
        <w:t>is</w:t>
      </w:r>
      <w:r w:rsidR="00665B44">
        <w:t xml:space="preserve"> felt to be necessary:</w:t>
      </w:r>
    </w:p>
    <w:p w14:paraId="276B1BBB" w14:textId="6DBCCE70" w:rsidR="00DA1C6A" w:rsidRDefault="003471A1" w:rsidP="005B5B50">
      <w:pPr>
        <w:pStyle w:val="ListParagraph"/>
        <w:numPr>
          <w:ilvl w:val="0"/>
          <w:numId w:val="6"/>
        </w:numPr>
      </w:pPr>
      <w:r>
        <w:t xml:space="preserve">Warn patient </w:t>
      </w:r>
      <w:r w:rsidR="008E7D7A">
        <w:t>about</w:t>
      </w:r>
      <w:r>
        <w:t xml:space="preserve"> risks</w:t>
      </w:r>
      <w:r w:rsidR="00906921">
        <w:t xml:space="preserve"> (</w:t>
      </w:r>
      <w:r w:rsidR="00DA1C6A">
        <w:t>including</w:t>
      </w:r>
      <w:r w:rsidR="00F8704E">
        <w:t xml:space="preserve"> tolerance</w:t>
      </w:r>
      <w:r w:rsidR="00556CBD">
        <w:t xml:space="preserve">, unintentional </w:t>
      </w:r>
      <w:r w:rsidR="00350AE6">
        <w:t>fatal overdose</w:t>
      </w:r>
      <w:r w:rsidR="00906921">
        <w:t xml:space="preserve"> and </w:t>
      </w:r>
      <w:r>
        <w:t>side effects</w:t>
      </w:r>
      <w:r w:rsidR="00906921">
        <w:t xml:space="preserve">), </w:t>
      </w:r>
      <w:r>
        <w:t>limitations</w:t>
      </w:r>
      <w:r w:rsidR="00906921">
        <w:t xml:space="preserve"> and </w:t>
      </w:r>
      <w:r>
        <w:t>practice policy</w:t>
      </w:r>
      <w:r w:rsidR="00D407BF">
        <w:t xml:space="preserve"> </w:t>
      </w:r>
    </w:p>
    <w:p w14:paraId="4E712220" w14:textId="339497B5" w:rsidR="001300A7" w:rsidRDefault="00DA1C6A" w:rsidP="005B5B50">
      <w:pPr>
        <w:pStyle w:val="ListParagraph"/>
        <w:numPr>
          <w:ilvl w:val="0"/>
          <w:numId w:val="6"/>
        </w:numPr>
      </w:pPr>
      <w:r>
        <w:t>A</w:t>
      </w:r>
      <w:r w:rsidR="00D407BF">
        <w:t xml:space="preserve">gree treatment </w:t>
      </w:r>
      <w:r w:rsidR="0074290C">
        <w:t xml:space="preserve">goals and a </w:t>
      </w:r>
      <w:r w:rsidR="00D407BF">
        <w:t>plan</w:t>
      </w:r>
      <w:r w:rsidR="00933929">
        <w:t>.</w:t>
      </w:r>
      <w:r w:rsidR="0055778B">
        <w:t xml:space="preserve"> </w:t>
      </w:r>
    </w:p>
    <w:p w14:paraId="361F07DE" w14:textId="1EFF2094" w:rsidR="003471A1" w:rsidRDefault="00AB3269" w:rsidP="005B5B50">
      <w:pPr>
        <w:pStyle w:val="ListParagraph"/>
        <w:numPr>
          <w:ilvl w:val="0"/>
          <w:numId w:val="6"/>
        </w:numPr>
      </w:pPr>
      <w:r>
        <w:t xml:space="preserve">Discuss </w:t>
      </w:r>
      <w:r w:rsidR="00A957B7">
        <w:t xml:space="preserve">the </w:t>
      </w:r>
      <w:r w:rsidR="00E70C39">
        <w:t>approximate duration of treatment</w:t>
      </w:r>
      <w:r w:rsidR="00906921">
        <w:t>, a</w:t>
      </w:r>
      <w:r w:rsidR="00A957B7">
        <w:t xml:space="preserve"> </w:t>
      </w:r>
      <w:r w:rsidR="001300A7" w:rsidRPr="001300A7">
        <w:t>strategy for ending treatment</w:t>
      </w:r>
      <w:r w:rsidR="006C156F">
        <w:t>, and provide tapering</w:t>
      </w:r>
      <w:r w:rsidR="00AD12AB">
        <w:t xml:space="preserve"> </w:t>
      </w:r>
      <w:r w:rsidR="0029324B">
        <w:t>information</w:t>
      </w:r>
      <w:r w:rsidR="008D35D4">
        <w:t>.</w:t>
      </w:r>
    </w:p>
    <w:p w14:paraId="5E4D7451" w14:textId="4B8A28DE" w:rsidR="00665B44" w:rsidRDefault="00D407BF" w:rsidP="005B5B50">
      <w:pPr>
        <w:pStyle w:val="ListParagraph"/>
        <w:numPr>
          <w:ilvl w:val="0"/>
          <w:numId w:val="6"/>
        </w:numPr>
      </w:pPr>
      <w:r>
        <w:t xml:space="preserve">Schedule </w:t>
      </w:r>
      <w:r w:rsidR="007559DF">
        <w:t xml:space="preserve">a </w:t>
      </w:r>
      <w:r>
        <w:t>review</w:t>
      </w:r>
      <w:r w:rsidR="005A4944">
        <w:t xml:space="preserve"> (preferably with the same clinician)</w:t>
      </w:r>
      <w:r w:rsidR="001638C8">
        <w:t xml:space="preserve"> within 2-4 weeks of </w:t>
      </w:r>
      <w:r w:rsidR="00633A9B">
        <w:t>initiation</w:t>
      </w:r>
      <w:r w:rsidR="001638C8">
        <w:t xml:space="preserve"> </w:t>
      </w:r>
      <w:r w:rsidR="00665B44">
        <w:t>and stop if not helpful</w:t>
      </w:r>
      <w:r w:rsidR="00A26F29">
        <w:t>.</w:t>
      </w:r>
    </w:p>
    <w:p w14:paraId="47307444" w14:textId="37C90FA5" w:rsidR="00665B44" w:rsidRDefault="00665B44" w:rsidP="005B5B50">
      <w:pPr>
        <w:pStyle w:val="ListParagraph"/>
        <w:numPr>
          <w:ilvl w:val="0"/>
          <w:numId w:val="6"/>
        </w:numPr>
      </w:pPr>
      <w:r>
        <w:t>Use IR</w:t>
      </w:r>
      <w:r w:rsidR="00B256D3">
        <w:t xml:space="preserve"> (immediate release)</w:t>
      </w:r>
      <w:r>
        <w:t xml:space="preserve"> preparations rather than MR</w:t>
      </w:r>
      <w:r w:rsidR="00B256D3">
        <w:t xml:space="preserve"> (modified release)</w:t>
      </w:r>
      <w:r w:rsidR="007559DF">
        <w:t>.</w:t>
      </w:r>
    </w:p>
    <w:p w14:paraId="7BB4A016" w14:textId="201956F3" w:rsidR="00EA25D0" w:rsidRDefault="00743B72" w:rsidP="625DE85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Avoid prescribing a full month’s quantity e.g. g</w:t>
      </w:r>
      <w:r w:rsidR="00665B44">
        <w:t>o up to 100 x 30mg codeine or equivalent per month</w:t>
      </w:r>
      <w:r w:rsidR="003471A1">
        <w:t xml:space="preserve"> as a maximum</w:t>
      </w:r>
      <w:r w:rsidR="005B5B50">
        <w:t xml:space="preserve"> (consider dihydrocodeine if lack of </w:t>
      </w:r>
      <w:r w:rsidR="005B5B50">
        <w:lastRenderedPageBreak/>
        <w:t>response to codeine</w:t>
      </w:r>
      <w:r w:rsidR="00D169FF">
        <w:t xml:space="preserve">.  This may be </w:t>
      </w:r>
      <w:r w:rsidR="00951CC1">
        <w:t xml:space="preserve">due to </w:t>
      </w:r>
      <w:r w:rsidR="1AF655FD">
        <w:t>CYP2D</w:t>
      </w:r>
      <w:r w:rsidR="7E098675">
        <w:t xml:space="preserve">6 </w:t>
      </w:r>
      <w:r w:rsidR="0093464A">
        <w:t>variability</w:t>
      </w:r>
      <w:r w:rsidR="00D169FF">
        <w:t xml:space="preserve">, </w:t>
      </w:r>
      <w:r w:rsidR="00D169FF" w:rsidRPr="00D169FF">
        <w:t>leading to</w:t>
      </w:r>
      <w:r w:rsidR="00347D7B">
        <w:t xml:space="preserve"> </w:t>
      </w:r>
      <w:r w:rsidR="3CFBA761" w:rsidRPr="625DE85C">
        <w:rPr>
          <w:rFonts w:eastAsiaTheme="minorEastAsia"/>
        </w:rPr>
        <w:t>differences</w:t>
      </w:r>
      <w:r w:rsidR="56793D9B" w:rsidRPr="625DE85C">
        <w:rPr>
          <w:rFonts w:eastAsiaTheme="minorEastAsia"/>
        </w:rPr>
        <w:t xml:space="preserve"> in effectiveness and side effects from codeine).</w:t>
      </w:r>
    </w:p>
    <w:p w14:paraId="3744A9C4" w14:textId="07295B28" w:rsidR="003471A1" w:rsidRPr="00EA25D0" w:rsidRDefault="001F0E1C" w:rsidP="00EA25D0">
      <w:pPr>
        <w:pStyle w:val="ListParagraph"/>
        <w:numPr>
          <w:ilvl w:val="0"/>
          <w:numId w:val="6"/>
        </w:numPr>
      </w:pPr>
      <w:r w:rsidRPr="001F0E1C">
        <w:t>If a patient requests further escalation, discuss</w:t>
      </w:r>
      <w:r w:rsidR="007B5FAF">
        <w:t xml:space="preserve"> </w:t>
      </w:r>
      <w:r w:rsidR="004345E7">
        <w:t xml:space="preserve">the case </w:t>
      </w:r>
      <w:r w:rsidRPr="001F0E1C">
        <w:t>with colleagues to achieve consensus</w:t>
      </w:r>
      <w:r w:rsidR="0061329C">
        <w:t xml:space="preserve">; and record </w:t>
      </w:r>
      <w:r w:rsidRPr="001F0E1C">
        <w:t xml:space="preserve">the </w:t>
      </w:r>
      <w:r w:rsidR="00E4759B">
        <w:t xml:space="preserve">decision and plan </w:t>
      </w:r>
      <w:r w:rsidRPr="001F0E1C">
        <w:t>in the medical notes.</w:t>
      </w:r>
      <w:r w:rsidR="000E2670" w:rsidRPr="000E7C65">
        <w:t xml:space="preserve"> </w:t>
      </w:r>
      <w:r w:rsidR="00AD5035" w:rsidRPr="000E7C65">
        <w:t xml:space="preserve"> </w:t>
      </w:r>
    </w:p>
    <w:p w14:paraId="2DDDED53" w14:textId="6F72321A" w:rsidR="005B5B50" w:rsidRDefault="00AC24D8" w:rsidP="00AD6A26">
      <w:pPr>
        <w:pStyle w:val="ListParagraph"/>
        <w:numPr>
          <w:ilvl w:val="0"/>
          <w:numId w:val="11"/>
        </w:numPr>
      </w:pPr>
      <w:r>
        <w:t xml:space="preserve">Do not </w:t>
      </w:r>
      <w:r w:rsidR="00633A9B">
        <w:t xml:space="preserve">routinely </w:t>
      </w:r>
      <w:r>
        <w:t xml:space="preserve">add </w:t>
      </w:r>
      <w:r w:rsidR="00E4759B">
        <w:t>o</w:t>
      </w:r>
      <w:r>
        <w:t xml:space="preserve">pioids </w:t>
      </w:r>
      <w:r w:rsidR="00391304">
        <w:t>from</w:t>
      </w:r>
      <w:r w:rsidR="00BB6FD6">
        <w:t xml:space="preserve"> hospital </w:t>
      </w:r>
      <w:r>
        <w:t xml:space="preserve">discharge notes </w:t>
      </w:r>
      <w:r w:rsidR="00B614D9">
        <w:t xml:space="preserve">or clinic letters </w:t>
      </w:r>
      <w:r w:rsidR="00633A9B">
        <w:t xml:space="preserve">to </w:t>
      </w:r>
      <w:r w:rsidR="00B614D9">
        <w:t xml:space="preserve">the </w:t>
      </w:r>
      <w:r w:rsidR="00252E31">
        <w:t>repeat prescription</w:t>
      </w:r>
      <w:r w:rsidR="00BB6FD6">
        <w:t xml:space="preserve"> without further review</w:t>
      </w:r>
      <w:r w:rsidR="00B614D9">
        <w:t xml:space="preserve"> (when prescribed for non-cancer pain)</w:t>
      </w:r>
      <w:r w:rsidR="00BB6FD6">
        <w:t>.</w:t>
      </w:r>
    </w:p>
    <w:p w14:paraId="02CCD892" w14:textId="447E7712" w:rsidR="005B5B50" w:rsidRPr="001A2A33" w:rsidRDefault="005B5B50" w:rsidP="003471A1">
      <w:pPr>
        <w:rPr>
          <w:b/>
          <w:bCs/>
        </w:rPr>
      </w:pPr>
      <w:r w:rsidRPr="001A2A33">
        <w:rPr>
          <w:b/>
          <w:bCs/>
        </w:rPr>
        <w:t>Opioid choice and caution</w:t>
      </w:r>
      <w:r w:rsidR="003B6054">
        <w:rPr>
          <w:b/>
          <w:bCs/>
        </w:rPr>
        <w:t xml:space="preserve"> in </w:t>
      </w:r>
      <w:r w:rsidR="008F4E23">
        <w:rPr>
          <w:b/>
          <w:bCs/>
        </w:rPr>
        <w:t>individuals</w:t>
      </w:r>
      <w:r w:rsidR="003B6054">
        <w:rPr>
          <w:b/>
          <w:bCs/>
        </w:rPr>
        <w:t xml:space="preserve"> at increased</w:t>
      </w:r>
      <w:r w:rsidRPr="001A2A33">
        <w:rPr>
          <w:b/>
          <w:bCs/>
        </w:rPr>
        <w:t xml:space="preserve"> </w:t>
      </w:r>
      <w:r w:rsidR="003B6054">
        <w:rPr>
          <w:b/>
          <w:bCs/>
        </w:rPr>
        <w:t>risk:</w:t>
      </w:r>
    </w:p>
    <w:p w14:paraId="786A3EF3" w14:textId="407147A2" w:rsidR="0035647C" w:rsidRDefault="00AE3EA4" w:rsidP="005B5B50">
      <w:pPr>
        <w:pStyle w:val="ListParagraph"/>
        <w:numPr>
          <w:ilvl w:val="0"/>
          <w:numId w:val="10"/>
        </w:numPr>
      </w:pPr>
      <w:r w:rsidRPr="001A2A33">
        <w:t>T</w:t>
      </w:r>
      <w:r w:rsidR="00680360">
        <w:t>ramadol – use caution</w:t>
      </w:r>
      <w:r w:rsidR="00185B67">
        <w:t xml:space="preserve">: </w:t>
      </w:r>
    </w:p>
    <w:p w14:paraId="7E7CBC52" w14:textId="39161E5E" w:rsidR="00CA16D3" w:rsidRDefault="00CA16D3" w:rsidP="00690925">
      <w:pPr>
        <w:pStyle w:val="ListParagraph"/>
        <w:numPr>
          <w:ilvl w:val="0"/>
          <w:numId w:val="13"/>
        </w:numPr>
      </w:pPr>
      <w:r>
        <w:t>Common side-effects</w:t>
      </w:r>
      <w:r w:rsidR="00901C20">
        <w:t xml:space="preserve"> include</w:t>
      </w:r>
      <w:r>
        <w:t xml:space="preserve"> </w:t>
      </w:r>
      <w:r w:rsidR="00901C20">
        <w:t>c</w:t>
      </w:r>
      <w:r>
        <w:t xml:space="preserve">onfusion; constipation; dizziness; drowsiness; dry mouth; euphoric mood; flushing; hallucination; headache; increased sweating; feeling sick, </w:t>
      </w:r>
      <w:r w:rsidR="008F4E23">
        <w:t>palpitations.</w:t>
      </w:r>
      <w:r>
        <w:t xml:space="preserve"> </w:t>
      </w:r>
    </w:p>
    <w:p w14:paraId="09B7E803" w14:textId="01ACF16B" w:rsidR="00037D04" w:rsidRDefault="00732F86" w:rsidP="00037D04">
      <w:pPr>
        <w:pStyle w:val="ListParagraph"/>
        <w:numPr>
          <w:ilvl w:val="0"/>
          <w:numId w:val="13"/>
        </w:numPr>
      </w:pPr>
      <w:r>
        <w:t>I</w:t>
      </w:r>
      <w:r w:rsidR="00EF5E0D">
        <w:t>mportant drug</w:t>
      </w:r>
      <w:r w:rsidR="004255C0">
        <w:t xml:space="preserve"> interactions, includ</w:t>
      </w:r>
      <w:r w:rsidR="008441EE">
        <w:t>e</w:t>
      </w:r>
      <w:r w:rsidR="002140B2">
        <w:t xml:space="preserve"> </w:t>
      </w:r>
      <w:r w:rsidR="00CA0198">
        <w:t xml:space="preserve">the </w:t>
      </w:r>
      <w:r w:rsidR="00D6060D">
        <w:t xml:space="preserve">risk of </w:t>
      </w:r>
      <w:r w:rsidR="002140B2">
        <w:t xml:space="preserve">serotonin </w:t>
      </w:r>
      <w:r w:rsidR="008F4E23">
        <w:t>syndrome</w:t>
      </w:r>
      <w:r w:rsidR="002140B2">
        <w:t xml:space="preserve"> </w:t>
      </w:r>
      <w:r w:rsidR="001A3B9E">
        <w:t xml:space="preserve">with tramadol alone or </w:t>
      </w:r>
      <w:r w:rsidR="00791FA5">
        <w:t xml:space="preserve">in combination with other </w:t>
      </w:r>
      <w:r w:rsidR="007204CD">
        <w:t>serotonergic</w:t>
      </w:r>
      <w:r w:rsidR="00791FA5">
        <w:t xml:space="preserve"> drugs </w:t>
      </w:r>
      <w:r w:rsidR="00CA0198">
        <w:t>(</w:t>
      </w:r>
      <w:r w:rsidR="00791FA5">
        <w:t>e.g.</w:t>
      </w:r>
      <w:r w:rsidR="00CB24F4">
        <w:t xml:space="preserve"> </w:t>
      </w:r>
      <w:r w:rsidR="004255C0">
        <w:t>SSRI</w:t>
      </w:r>
      <w:r w:rsidR="00CA0198">
        <w:t>s)</w:t>
      </w:r>
      <w:r w:rsidR="00CB24F4">
        <w:t>.</w:t>
      </w:r>
      <w:r w:rsidR="004255C0">
        <w:t xml:space="preserve"> </w:t>
      </w:r>
    </w:p>
    <w:p w14:paraId="5102738F" w14:textId="0F9B6C56" w:rsidR="00037D04" w:rsidRPr="00711913" w:rsidRDefault="0035647C" w:rsidP="00037D04">
      <w:pPr>
        <w:pStyle w:val="ListParagraph"/>
        <w:numPr>
          <w:ilvl w:val="0"/>
          <w:numId w:val="13"/>
        </w:numPr>
      </w:pPr>
      <w:r w:rsidRPr="00711913">
        <w:t xml:space="preserve">Tramadol has an anticholinergic cognitive burden </w:t>
      </w:r>
      <w:r w:rsidR="00037D04" w:rsidRPr="00711913">
        <w:t>(</w:t>
      </w:r>
      <w:hyperlink r:id="rId17" w:history="1">
        <w:r w:rsidR="007623FD" w:rsidRPr="00711913">
          <w:rPr>
            <w:rFonts w:cs="Arial"/>
            <w:color w:val="0000FF"/>
            <w:u w:val="single"/>
          </w:rPr>
          <w:t>ACB Calculator</w:t>
        </w:r>
      </w:hyperlink>
      <w:r w:rsidR="00037D04" w:rsidRPr="00711913">
        <w:t>)</w:t>
      </w:r>
      <w:r w:rsidRPr="00711913">
        <w:t xml:space="preserve"> score of 2</w:t>
      </w:r>
      <w:r w:rsidR="00037D04" w:rsidRPr="00711913">
        <w:t>.</w:t>
      </w:r>
      <w:r w:rsidR="00711913" w:rsidRPr="00711913">
        <w:rPr>
          <w:rFonts w:cs="Arial"/>
        </w:rPr>
        <w:t xml:space="preserve"> An ACB score of 3+ is associated with an increased cognitive impairment and mortality</w:t>
      </w:r>
      <w:r w:rsidR="002C03B8">
        <w:rPr>
          <w:rFonts w:cs="Arial"/>
        </w:rPr>
        <w:t>; and ma</w:t>
      </w:r>
      <w:r w:rsidR="00711913" w:rsidRPr="00711913">
        <w:rPr>
          <w:rFonts w:cs="Arial"/>
        </w:rPr>
        <w:t xml:space="preserve">y increase </w:t>
      </w:r>
      <w:r w:rsidR="002C03B8">
        <w:rPr>
          <w:rFonts w:cs="Arial"/>
        </w:rPr>
        <w:t xml:space="preserve">the </w:t>
      </w:r>
      <w:r w:rsidR="00711913" w:rsidRPr="00711913">
        <w:rPr>
          <w:rFonts w:cs="Arial"/>
        </w:rPr>
        <w:t xml:space="preserve">risk of dementia when taken for &gt; 3 years </w:t>
      </w:r>
      <w:r w:rsidR="00B44ACB">
        <w:rPr>
          <w:rFonts w:cs="Arial"/>
        </w:rPr>
        <w:t xml:space="preserve">(see </w:t>
      </w:r>
      <w:hyperlink r:id="rId18" w:anchor=":~:text=There%20was%20nearly%20a%2050,dose%20recommended%20for%20older%20people." w:history="1">
        <w:r w:rsidR="00711913" w:rsidRPr="00711913">
          <w:rPr>
            <w:rFonts w:cs="Arial"/>
            <w:color w:val="0000FF"/>
            <w:u w:val="single"/>
          </w:rPr>
          <w:t>reference</w:t>
        </w:r>
      </w:hyperlink>
      <w:r w:rsidR="00B44ACB">
        <w:t xml:space="preserve"> in linked article)</w:t>
      </w:r>
      <w:r w:rsidR="00711913">
        <w:t>.</w:t>
      </w:r>
    </w:p>
    <w:p w14:paraId="21392935" w14:textId="382897E0" w:rsidR="005B5B50" w:rsidRDefault="005B5B50" w:rsidP="005B5B50">
      <w:pPr>
        <w:pStyle w:val="ListParagraph"/>
        <w:numPr>
          <w:ilvl w:val="0"/>
          <w:numId w:val="10"/>
        </w:numPr>
      </w:pPr>
      <w:r w:rsidRPr="001A2A33">
        <w:t xml:space="preserve">SY ICB does not support the routine long-term (greater than 3 months) co-prescribing of opioids and </w:t>
      </w:r>
      <w:proofErr w:type="spellStart"/>
      <w:r w:rsidRPr="001A2A33">
        <w:t>gabapentinoids</w:t>
      </w:r>
      <w:proofErr w:type="spellEnd"/>
      <w:r w:rsidRPr="001A2A33">
        <w:t xml:space="preserve"> for neuropathic or chronic, non-cancer pain in adults </w:t>
      </w:r>
      <w:hyperlink r:id="rId19" w:history="1">
        <w:r w:rsidRPr="001A2A33">
          <w:rPr>
            <w:u w:val="single"/>
          </w:rPr>
          <w:t>South Yorkshire Position Statement Prescribing of Gabapentinoids.pdf</w:t>
        </w:r>
      </w:hyperlink>
    </w:p>
    <w:p w14:paraId="65C907F7" w14:textId="0563BF96" w:rsidR="003C3214" w:rsidRDefault="00F1448D" w:rsidP="00AE35D9">
      <w:pPr>
        <w:pStyle w:val="ListParagraph"/>
        <w:numPr>
          <w:ilvl w:val="0"/>
          <w:numId w:val="10"/>
        </w:numPr>
      </w:pPr>
      <w:r>
        <w:t>C</w:t>
      </w:r>
      <w:r w:rsidR="00AE35D9">
        <w:t>o-prescribing benzodiazepines and opioids</w:t>
      </w:r>
      <w:r>
        <w:t xml:space="preserve"> carries a risk of potentially </w:t>
      </w:r>
      <w:r w:rsidR="0013507C">
        <w:t>fatal respiratory depression</w:t>
      </w:r>
      <w:r w:rsidR="00AE35D9">
        <w:t xml:space="preserve"> (</w:t>
      </w:r>
      <w:hyperlink r:id="rId20" w:history="1">
        <w:r w:rsidR="0013507C">
          <w:rPr>
            <w:rStyle w:val="Hyperlink"/>
          </w:rPr>
          <w:t>See MHRA Drug Safety Update, March 2020)</w:t>
        </w:r>
      </w:hyperlink>
      <w:r w:rsidR="0013507C">
        <w:t>,</w:t>
      </w:r>
    </w:p>
    <w:p w14:paraId="285A4E62" w14:textId="3B6C810A" w:rsidR="005C32A8" w:rsidRDefault="008E58B2" w:rsidP="005C32A8">
      <w:pPr>
        <w:pStyle w:val="ListParagraph"/>
        <w:numPr>
          <w:ilvl w:val="0"/>
          <w:numId w:val="10"/>
        </w:numPr>
      </w:pPr>
      <w:r w:rsidRPr="008E58B2">
        <w:t xml:space="preserve">There is potential high demand for opioid and </w:t>
      </w:r>
      <w:proofErr w:type="spellStart"/>
      <w:r w:rsidRPr="008E58B2">
        <w:t>gabapentinoid</w:t>
      </w:r>
      <w:proofErr w:type="spellEnd"/>
      <w:r w:rsidRPr="008E58B2">
        <w:t xml:space="preserve"> medication on the black market. </w:t>
      </w:r>
    </w:p>
    <w:p w14:paraId="47E3A29F" w14:textId="4476F38D" w:rsidR="005C32A8" w:rsidRDefault="00DE5932" w:rsidP="005C32A8">
      <w:pPr>
        <w:pStyle w:val="ListParagraph"/>
        <w:numPr>
          <w:ilvl w:val="0"/>
          <w:numId w:val="10"/>
        </w:numPr>
      </w:pPr>
      <w:r>
        <w:t xml:space="preserve">Assess risk </w:t>
      </w:r>
      <w:r w:rsidR="00A22B75">
        <w:t>and</w:t>
      </w:r>
      <w:r>
        <w:t xml:space="preserve"> consider</w:t>
      </w:r>
      <w:r w:rsidR="00252E31">
        <w:t xml:space="preserve"> </w:t>
      </w:r>
      <w:r w:rsidR="005C32A8">
        <w:t>physical and mental health comorbidities, including emotional influence</w:t>
      </w:r>
      <w:r w:rsidR="00EB75B0">
        <w:t>s</w:t>
      </w:r>
      <w:r w:rsidR="005C32A8">
        <w:t xml:space="preserve"> on pain</w:t>
      </w:r>
      <w:r w:rsidR="008C2786">
        <w:t xml:space="preserve"> are considered</w:t>
      </w:r>
      <w:r w:rsidR="005C32A8">
        <w:t xml:space="preserve"> </w:t>
      </w:r>
      <w:r w:rsidR="00EB75B0">
        <w:t>(</w:t>
      </w:r>
      <w:r w:rsidR="005C32A8">
        <w:t xml:space="preserve">see </w:t>
      </w:r>
      <w:hyperlink r:id="rId21" w:history="1">
        <w:r w:rsidR="005C32A8" w:rsidRPr="005E287A">
          <w:rPr>
            <w:rStyle w:val="Hyperlink"/>
          </w:rPr>
          <w:t>Opioid risk tool</w:t>
        </w:r>
      </w:hyperlink>
      <w:r w:rsidR="00EB75B0">
        <w:t>)</w:t>
      </w:r>
      <w:r w:rsidR="005C32A8">
        <w:t>.</w:t>
      </w:r>
    </w:p>
    <w:p w14:paraId="2F5F7F1C" w14:textId="77777777" w:rsidR="005B5B50" w:rsidRPr="006A60EF" w:rsidRDefault="005B5B50" w:rsidP="005010F1">
      <w:pPr>
        <w:rPr>
          <w:rFonts w:cs="Arial"/>
          <w:b/>
          <w:bCs/>
        </w:rPr>
      </w:pPr>
      <w:r w:rsidRPr="006A60EF">
        <w:rPr>
          <w:rFonts w:cs="Arial"/>
          <w:b/>
          <w:bCs/>
        </w:rPr>
        <w:t>Opioid Prescriptions</w:t>
      </w:r>
    </w:p>
    <w:p w14:paraId="01FD9998" w14:textId="04FC2936" w:rsidR="00086E19" w:rsidRDefault="00AF53EE" w:rsidP="006A60E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The practice will not add opioid prescriptions for non-cancer pain to the repeat prescriptions list. </w:t>
      </w:r>
      <w:r w:rsidR="005B3B8A">
        <w:rPr>
          <w:rFonts w:cs="Arial"/>
        </w:rPr>
        <w:t>In other cases (e.g. when used for cancer pain), the practice will use</w:t>
      </w:r>
      <w:r w:rsidR="009915B7" w:rsidRPr="004E0F1D">
        <w:rPr>
          <w:rFonts w:cs="Arial"/>
        </w:rPr>
        <w:t xml:space="preserve"> </w:t>
      </w:r>
      <w:r w:rsidR="00C42A84" w:rsidRPr="004E0F1D">
        <w:rPr>
          <w:rFonts w:cs="Arial"/>
        </w:rPr>
        <w:t>system prompts</w:t>
      </w:r>
      <w:r w:rsidR="006712BC">
        <w:rPr>
          <w:rFonts w:cs="Arial"/>
        </w:rPr>
        <w:t xml:space="preserve"> and</w:t>
      </w:r>
      <w:r w:rsidR="00DE10D4">
        <w:rPr>
          <w:rFonts w:cs="Arial"/>
        </w:rPr>
        <w:t xml:space="preserve"> </w:t>
      </w:r>
      <w:r w:rsidR="00C42A84" w:rsidRPr="004E0F1D">
        <w:rPr>
          <w:rFonts w:cs="Arial"/>
        </w:rPr>
        <w:t>review dates to limit issues.</w:t>
      </w:r>
      <w:r w:rsidR="00CC7422">
        <w:rPr>
          <w:rFonts w:cs="Arial"/>
        </w:rPr>
        <w:t xml:space="preserve"> </w:t>
      </w:r>
    </w:p>
    <w:p w14:paraId="7D9C18FB" w14:textId="1CA273F7" w:rsidR="005B5B50" w:rsidRPr="004E0F1D" w:rsidRDefault="00344F48" w:rsidP="006A60E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Agree in advance either </w:t>
      </w:r>
      <w:r w:rsidR="0082428B">
        <w:rPr>
          <w:rFonts w:cs="Arial"/>
        </w:rPr>
        <w:t>the</w:t>
      </w:r>
      <w:r>
        <w:rPr>
          <w:rFonts w:cs="Arial"/>
        </w:rPr>
        <w:t xml:space="preserve"> number of prescriptions or duration of continued treatment that would trigger a clinical review</w:t>
      </w:r>
      <w:r w:rsidR="0082428B">
        <w:rPr>
          <w:rFonts w:cs="Arial"/>
        </w:rPr>
        <w:t xml:space="preserve">. </w:t>
      </w:r>
    </w:p>
    <w:p w14:paraId="687754C9" w14:textId="09858FA6" w:rsidR="005B5B50" w:rsidRPr="004E0F1D" w:rsidRDefault="00ED74B2" w:rsidP="006A60E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Issue a </w:t>
      </w:r>
      <w:r w:rsidR="005B5B50" w:rsidRPr="004E0F1D">
        <w:rPr>
          <w:rFonts w:cs="Arial"/>
        </w:rPr>
        <w:t xml:space="preserve">maximum </w:t>
      </w:r>
      <w:r w:rsidR="00194614">
        <w:rPr>
          <w:rFonts w:cs="Arial"/>
        </w:rPr>
        <w:t xml:space="preserve">supply </w:t>
      </w:r>
      <w:r w:rsidR="005B5B50" w:rsidRPr="004E0F1D">
        <w:rPr>
          <w:rFonts w:cs="Arial"/>
        </w:rPr>
        <w:t xml:space="preserve">of a </w:t>
      </w:r>
      <w:proofErr w:type="gramStart"/>
      <w:r w:rsidR="005B5B50" w:rsidRPr="004E0F1D">
        <w:rPr>
          <w:rFonts w:cs="Arial"/>
        </w:rPr>
        <w:t>30 day</w:t>
      </w:r>
      <w:proofErr w:type="gramEnd"/>
      <w:r w:rsidR="009435CE">
        <w:rPr>
          <w:rFonts w:cs="Arial"/>
        </w:rPr>
        <w:t xml:space="preserve"> </w:t>
      </w:r>
      <w:r w:rsidR="005B5B50" w:rsidRPr="004E0F1D">
        <w:rPr>
          <w:rFonts w:cs="Arial"/>
        </w:rPr>
        <w:t xml:space="preserve">prescription. </w:t>
      </w:r>
    </w:p>
    <w:p w14:paraId="02071C2D" w14:textId="5E8CE6E8" w:rsidR="008B78FC" w:rsidRDefault="00194614" w:rsidP="006A60E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Include f</w:t>
      </w:r>
      <w:r w:rsidR="00E05B86" w:rsidRPr="004E0F1D">
        <w:rPr>
          <w:rFonts w:cs="Arial"/>
        </w:rPr>
        <w:t>ull directions</w:t>
      </w:r>
      <w:r>
        <w:rPr>
          <w:rFonts w:cs="Arial"/>
        </w:rPr>
        <w:t xml:space="preserve"> on all opioid prescriptions; avoid </w:t>
      </w:r>
      <w:r w:rsidR="002D3C58">
        <w:rPr>
          <w:rFonts w:cs="Arial"/>
        </w:rPr>
        <w:t>“</w:t>
      </w:r>
      <w:r w:rsidR="00E05B86" w:rsidRPr="004E0F1D">
        <w:rPr>
          <w:rFonts w:cs="Arial"/>
        </w:rPr>
        <w:t>as directed</w:t>
      </w:r>
      <w:r w:rsidR="002D3C58">
        <w:rPr>
          <w:rFonts w:cs="Arial"/>
        </w:rPr>
        <w:t>”.</w:t>
      </w:r>
    </w:p>
    <w:p w14:paraId="44FC89BF" w14:textId="03FFE00D" w:rsidR="005B5B50" w:rsidRPr="004E0F1D" w:rsidRDefault="00D54DBB" w:rsidP="006A60E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Exercise caution </w:t>
      </w:r>
      <w:r w:rsidR="0048033B">
        <w:rPr>
          <w:rFonts w:cs="Arial"/>
        </w:rPr>
        <w:t xml:space="preserve">when </w:t>
      </w:r>
      <w:r>
        <w:rPr>
          <w:rFonts w:cs="Arial"/>
        </w:rPr>
        <w:t>issuing early prescriptions</w:t>
      </w:r>
      <w:r w:rsidR="00BC0B9B">
        <w:rPr>
          <w:rFonts w:cs="Arial"/>
        </w:rPr>
        <w:t>, particularly in the event of lost prescriptions and repeated holiday requests.</w:t>
      </w:r>
      <w:r w:rsidR="005B5B50" w:rsidRPr="004E0F1D">
        <w:rPr>
          <w:rFonts w:cs="Arial"/>
        </w:rPr>
        <w:t xml:space="preserve"> </w:t>
      </w:r>
      <w:r w:rsidR="008B5F9E" w:rsidRPr="004E0F1D">
        <w:rPr>
          <w:rFonts w:cs="Arial"/>
        </w:rPr>
        <w:t>Where necessary,</w:t>
      </w:r>
      <w:r w:rsidR="003606E3">
        <w:rPr>
          <w:rFonts w:cs="Arial"/>
        </w:rPr>
        <w:t xml:space="preserve"> obtain</w:t>
      </w:r>
      <w:r w:rsidR="008B5F9E" w:rsidRPr="004E0F1D">
        <w:rPr>
          <w:rFonts w:cs="Arial"/>
        </w:rPr>
        <w:t xml:space="preserve"> proof of legitimacy and</w:t>
      </w:r>
      <w:r w:rsidR="00C808C6">
        <w:rPr>
          <w:rFonts w:cs="Arial"/>
        </w:rPr>
        <w:t xml:space="preserve"> record</w:t>
      </w:r>
      <w:r w:rsidR="008B5F9E" w:rsidRPr="004E0F1D">
        <w:rPr>
          <w:rFonts w:cs="Arial"/>
        </w:rPr>
        <w:t xml:space="preserve"> </w:t>
      </w:r>
      <w:r w:rsidR="00E05B86" w:rsidRPr="004E0F1D">
        <w:rPr>
          <w:rFonts w:cs="Arial"/>
        </w:rPr>
        <w:t xml:space="preserve">all details </w:t>
      </w:r>
      <w:r w:rsidR="008B5F9E" w:rsidRPr="004E0F1D">
        <w:rPr>
          <w:rFonts w:cs="Arial"/>
        </w:rPr>
        <w:t>in the patient’s medical</w:t>
      </w:r>
      <w:r w:rsidR="002E59C2">
        <w:rPr>
          <w:rFonts w:cs="Arial"/>
        </w:rPr>
        <w:t xml:space="preserve"> </w:t>
      </w:r>
      <w:r w:rsidR="00C808C6">
        <w:rPr>
          <w:rFonts w:cs="Arial"/>
        </w:rPr>
        <w:t>notes</w:t>
      </w:r>
      <w:r w:rsidR="005237CA">
        <w:rPr>
          <w:rFonts w:cs="Arial"/>
        </w:rPr>
        <w:t>.</w:t>
      </w:r>
    </w:p>
    <w:p w14:paraId="0A67DDF0" w14:textId="77777777" w:rsidR="006A60EF" w:rsidRPr="006A60EF" w:rsidRDefault="006A60EF" w:rsidP="006A60EF">
      <w:pPr>
        <w:pStyle w:val="ListParagraph"/>
        <w:spacing w:after="0" w:line="240" w:lineRule="auto"/>
        <w:ind w:left="714"/>
        <w:contextualSpacing w:val="0"/>
        <w:rPr>
          <w:rFonts w:cs="Arial"/>
        </w:rPr>
      </w:pPr>
    </w:p>
    <w:p w14:paraId="63FA7EEF" w14:textId="2C7441EC" w:rsidR="005B5B50" w:rsidRDefault="005B5B50" w:rsidP="005010F1">
      <w:pPr>
        <w:rPr>
          <w:rFonts w:cs="Arial"/>
          <w:b/>
          <w:bCs/>
        </w:rPr>
      </w:pPr>
      <w:r w:rsidRPr="006A60EF">
        <w:rPr>
          <w:rFonts w:cs="Arial"/>
          <w:b/>
          <w:bCs/>
        </w:rPr>
        <w:lastRenderedPageBreak/>
        <w:t xml:space="preserve">Review of Opioid Prescriptions </w:t>
      </w:r>
    </w:p>
    <w:p w14:paraId="3FB46DD2" w14:textId="727EBF28" w:rsidR="0081100D" w:rsidRPr="004E0F1D" w:rsidRDefault="0081100D" w:rsidP="0081100D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cs="Arial"/>
        </w:rPr>
      </w:pPr>
      <w:r w:rsidRPr="004E0F1D">
        <w:rPr>
          <w:rStyle w:val="cf01"/>
          <w:rFonts w:asciiTheme="minorHAnsi" w:hAnsiTheme="minorHAnsi"/>
          <w:sz w:val="24"/>
          <w:szCs w:val="24"/>
        </w:rPr>
        <w:t xml:space="preserve">Consider activating </w:t>
      </w:r>
      <w:r w:rsidR="00A379C0">
        <w:rPr>
          <w:rStyle w:val="cf01"/>
          <w:rFonts w:asciiTheme="minorHAnsi" w:hAnsiTheme="minorHAnsi"/>
          <w:sz w:val="24"/>
          <w:szCs w:val="24"/>
        </w:rPr>
        <w:t xml:space="preserve">the </w:t>
      </w:r>
      <w:r w:rsidRPr="004E0F1D">
        <w:rPr>
          <w:rStyle w:val="cf01"/>
          <w:rFonts w:asciiTheme="minorHAnsi" w:hAnsiTheme="minorHAnsi"/>
          <w:sz w:val="24"/>
          <w:szCs w:val="24"/>
        </w:rPr>
        <w:t xml:space="preserve">Ardens protocol for opioid prescribing </w:t>
      </w:r>
      <w:r w:rsidR="00DB72BA">
        <w:rPr>
          <w:rStyle w:val="cf01"/>
          <w:rFonts w:asciiTheme="minorHAnsi" w:hAnsiTheme="minorHAnsi"/>
          <w:sz w:val="24"/>
          <w:szCs w:val="24"/>
        </w:rPr>
        <w:t xml:space="preserve">to </w:t>
      </w:r>
      <w:r w:rsidRPr="004E0F1D">
        <w:rPr>
          <w:rStyle w:val="cf01"/>
          <w:rFonts w:asciiTheme="minorHAnsi" w:hAnsiTheme="minorHAnsi"/>
          <w:sz w:val="24"/>
          <w:szCs w:val="24"/>
        </w:rPr>
        <w:t>highlight multiple issues without a review</w:t>
      </w:r>
      <w:r>
        <w:rPr>
          <w:rStyle w:val="cf01"/>
          <w:rFonts w:asciiTheme="minorHAnsi" w:hAnsiTheme="minorHAnsi"/>
          <w:sz w:val="24"/>
          <w:szCs w:val="24"/>
        </w:rPr>
        <w:t>.</w:t>
      </w:r>
    </w:p>
    <w:p w14:paraId="356ECEDF" w14:textId="03785B12" w:rsidR="006A60EF" w:rsidRDefault="00D25540" w:rsidP="005B5B50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Review patients on long</w:t>
      </w:r>
      <w:r w:rsidR="005B5B50" w:rsidRPr="006A60EF">
        <w:rPr>
          <w:rFonts w:cs="Arial"/>
        </w:rPr>
        <w:t>-term opioids every 6 months or more frequently.</w:t>
      </w:r>
      <w:r w:rsidR="004D25A7">
        <w:rPr>
          <w:rFonts w:cs="Arial"/>
        </w:rPr>
        <w:t xml:space="preserve"> See </w:t>
      </w:r>
      <w:hyperlink r:id="rId22" w:history="1">
        <w:r w:rsidR="004D25A7" w:rsidRPr="00523788">
          <w:rPr>
            <w:rStyle w:val="Hyperlink"/>
            <w:rFonts w:cs="Arial"/>
          </w:rPr>
          <w:t>SY ICB Opioid Prescribing Resource</w:t>
        </w:r>
      </w:hyperlink>
      <w:r w:rsidR="004D25A7">
        <w:rPr>
          <w:rFonts w:cs="Arial"/>
        </w:rPr>
        <w:t xml:space="preserve"> for </w:t>
      </w:r>
      <w:r w:rsidR="00523788">
        <w:rPr>
          <w:rFonts w:cs="Arial"/>
        </w:rPr>
        <w:t>tapering schedules</w:t>
      </w:r>
      <w:r w:rsidR="00696161">
        <w:rPr>
          <w:rFonts w:cs="Arial"/>
        </w:rPr>
        <w:t>.</w:t>
      </w:r>
    </w:p>
    <w:p w14:paraId="066A7815" w14:textId="3B4A66A1" w:rsidR="00696161" w:rsidRPr="00A96AF8" w:rsidRDefault="00696161" w:rsidP="00A96AF8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At each </w:t>
      </w:r>
      <w:r w:rsidR="007204CD">
        <w:rPr>
          <w:rFonts w:cs="Arial"/>
        </w:rPr>
        <w:t>review</w:t>
      </w:r>
      <w:r w:rsidR="00A379C0">
        <w:rPr>
          <w:rFonts w:cs="Arial"/>
        </w:rPr>
        <w:t>,</w:t>
      </w:r>
      <w:r w:rsidR="007204CD">
        <w:rPr>
          <w:rFonts w:cs="Arial"/>
        </w:rPr>
        <w:t xml:space="preserve"> ask</w:t>
      </w:r>
      <w:r w:rsidR="00A96AF8">
        <w:rPr>
          <w:rFonts w:cs="Arial"/>
        </w:rPr>
        <w:t xml:space="preserve"> </w:t>
      </w:r>
      <w:r w:rsidRPr="00696161">
        <w:rPr>
          <w:rFonts w:cs="Arial"/>
        </w:rPr>
        <w:t>"Have you thought about reducing and giving up your opioids?"</w:t>
      </w:r>
    </w:p>
    <w:p w14:paraId="1BE48A71" w14:textId="756B00F2" w:rsidR="005B5B50" w:rsidRDefault="002E59C2" w:rsidP="005B5B50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Continue t</w:t>
      </w:r>
      <w:r w:rsidR="005B5B50" w:rsidRPr="006A60EF">
        <w:rPr>
          <w:rFonts w:cs="Arial"/>
        </w:rPr>
        <w:t>reatment only where there is clear on-going evidence of benefit</w:t>
      </w:r>
      <w:r w:rsidR="006A60EF">
        <w:rPr>
          <w:rFonts w:cs="Arial"/>
        </w:rPr>
        <w:t xml:space="preserve"> (</w:t>
      </w:r>
      <w:r w:rsidR="00F747BE">
        <w:rPr>
          <w:rFonts w:cs="Arial"/>
        </w:rPr>
        <w:t xml:space="preserve">improvement in </w:t>
      </w:r>
      <w:r w:rsidR="006A60EF">
        <w:rPr>
          <w:rFonts w:cs="Arial"/>
        </w:rPr>
        <w:t>pain and function)</w:t>
      </w:r>
      <w:r w:rsidR="005B5B50" w:rsidRPr="006A60EF">
        <w:rPr>
          <w:rFonts w:cs="Arial"/>
        </w:rPr>
        <w:t>.</w:t>
      </w:r>
    </w:p>
    <w:p w14:paraId="299FCEF1" w14:textId="666866AE" w:rsidR="005B5B50" w:rsidRPr="002820EE" w:rsidRDefault="005B5B50" w:rsidP="00762D31">
      <w:pPr>
        <w:pStyle w:val="ListParagraph"/>
        <w:numPr>
          <w:ilvl w:val="0"/>
          <w:numId w:val="8"/>
        </w:numPr>
        <w:rPr>
          <w:rFonts w:cs="Arial"/>
        </w:rPr>
      </w:pPr>
      <w:r w:rsidRPr="002820EE">
        <w:rPr>
          <w:rFonts w:cs="Arial"/>
        </w:rPr>
        <w:t xml:space="preserve">If pain remains severe despite opioid treatment it </w:t>
      </w:r>
      <w:r w:rsidR="00B9684E" w:rsidRPr="002820EE">
        <w:rPr>
          <w:rFonts w:cs="Arial"/>
        </w:rPr>
        <w:t>suggests</w:t>
      </w:r>
      <w:r w:rsidR="00E85F75">
        <w:rPr>
          <w:rFonts w:cs="Arial"/>
        </w:rPr>
        <w:t xml:space="preserve"> the </w:t>
      </w:r>
      <w:r w:rsidRPr="002820EE">
        <w:rPr>
          <w:rFonts w:cs="Arial"/>
        </w:rPr>
        <w:t>opioid is not working</w:t>
      </w:r>
      <w:r w:rsidR="00E85F75">
        <w:rPr>
          <w:rFonts w:cs="Arial"/>
        </w:rPr>
        <w:t>;</w:t>
      </w:r>
      <w:r w:rsidRPr="002820EE">
        <w:rPr>
          <w:rFonts w:cs="Arial"/>
        </w:rPr>
        <w:t xml:space="preserve"> </w:t>
      </w:r>
      <w:r w:rsidR="00B9684E" w:rsidRPr="002820EE">
        <w:rPr>
          <w:rFonts w:cs="Arial"/>
        </w:rPr>
        <w:t>taper</w:t>
      </w:r>
      <w:r w:rsidR="00E85F75">
        <w:rPr>
          <w:rFonts w:cs="Arial"/>
        </w:rPr>
        <w:t xml:space="preserve"> and withdraw the opioid</w:t>
      </w:r>
      <w:r w:rsidR="00840C04">
        <w:rPr>
          <w:rFonts w:cs="Arial"/>
        </w:rPr>
        <w:t>,</w:t>
      </w:r>
      <w:r w:rsidR="00E85F75">
        <w:rPr>
          <w:rFonts w:cs="Arial"/>
        </w:rPr>
        <w:t xml:space="preserve"> </w:t>
      </w:r>
      <w:r w:rsidRPr="002820EE">
        <w:rPr>
          <w:rFonts w:cs="Arial"/>
        </w:rPr>
        <w:t>even if no other treatment is available.</w:t>
      </w:r>
      <w:r w:rsidR="002820EE" w:rsidRPr="002820EE">
        <w:rPr>
          <w:rFonts w:cs="Arial"/>
        </w:rPr>
        <w:t xml:space="preserve">  </w:t>
      </w:r>
      <w:r w:rsidR="00E85F75">
        <w:rPr>
          <w:rFonts w:cs="Arial"/>
        </w:rPr>
        <w:t>Do not stop an opioid</w:t>
      </w:r>
      <w:r w:rsidRPr="002820EE">
        <w:rPr>
          <w:rFonts w:cs="Arial"/>
        </w:rPr>
        <w:t xml:space="preserve"> suddenly. </w:t>
      </w:r>
    </w:p>
    <w:p w14:paraId="72D2CEBC" w14:textId="4E381ECA" w:rsidR="005B5B50" w:rsidRDefault="005B5B50" w:rsidP="005B5B50">
      <w:pPr>
        <w:pStyle w:val="ListParagraph"/>
        <w:numPr>
          <w:ilvl w:val="0"/>
          <w:numId w:val="8"/>
        </w:numPr>
        <w:rPr>
          <w:rFonts w:cs="Arial"/>
        </w:rPr>
      </w:pPr>
      <w:r w:rsidRPr="006A60EF">
        <w:rPr>
          <w:rFonts w:cs="Arial"/>
        </w:rPr>
        <w:t>Where possible</w:t>
      </w:r>
      <w:r w:rsidR="00630F5A">
        <w:rPr>
          <w:rFonts w:cs="Arial"/>
        </w:rPr>
        <w:t xml:space="preserve"> book reviews with the</w:t>
      </w:r>
      <w:r w:rsidRPr="006A60EF">
        <w:rPr>
          <w:rFonts w:cs="Arial"/>
        </w:rPr>
        <w:t xml:space="preserve"> same prescriber</w:t>
      </w:r>
      <w:r w:rsidR="00D77783">
        <w:rPr>
          <w:rFonts w:cs="Arial"/>
        </w:rPr>
        <w:t>.</w:t>
      </w:r>
      <w:r w:rsidR="00BD2BB5">
        <w:rPr>
          <w:rFonts w:cs="Arial"/>
        </w:rPr>
        <w:t xml:space="preserve"> </w:t>
      </w:r>
    </w:p>
    <w:p w14:paraId="457116F3" w14:textId="5A0215B4" w:rsidR="00D77783" w:rsidRPr="006A60EF" w:rsidRDefault="00026A3C" w:rsidP="005B5B50">
      <w:pPr>
        <w:pStyle w:val="ListParagraph"/>
        <w:numPr>
          <w:ilvl w:val="0"/>
          <w:numId w:val="8"/>
        </w:numPr>
        <w:rPr>
          <w:rFonts w:cs="Arial"/>
        </w:rPr>
      </w:pPr>
      <w:r w:rsidRPr="00026A3C">
        <w:rPr>
          <w:rFonts w:cs="Arial"/>
        </w:rPr>
        <w:t>Inform other healthcare providers of the treatment plan, especially during tapering (e.g. community pharmacy). As recommended (</w:t>
      </w:r>
      <w:hyperlink r:id="rId23" w:history="1">
        <w:r w:rsidR="00DF4A81">
          <w:rPr>
            <w:rStyle w:val="Hyperlink"/>
            <w:rFonts w:cs="Arial"/>
          </w:rPr>
          <w:t>SY ICB Opioid Prescribing Resource</w:t>
        </w:r>
      </w:hyperlink>
      <w:r w:rsidR="00DF4A81">
        <w:rPr>
          <w:rFonts w:cs="Arial"/>
        </w:rPr>
        <w:t xml:space="preserve"> </w:t>
      </w:r>
      <w:r w:rsidRPr="00026A3C">
        <w:rPr>
          <w:rFonts w:cs="Arial"/>
        </w:rPr>
        <w:t>p.7), add a SNOMED code as a problem so clinicians out of hours (e.g., NHS 111) can view it</w:t>
      </w:r>
      <w:r w:rsidR="00F04287">
        <w:rPr>
          <w:rFonts w:cs="Arial"/>
        </w:rPr>
        <w:t xml:space="preserve">. </w:t>
      </w:r>
    </w:p>
    <w:p w14:paraId="262BE14C" w14:textId="464FBB93" w:rsidR="005B5B50" w:rsidRDefault="00FE6856" w:rsidP="005B5B50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Advise p</w:t>
      </w:r>
      <w:r w:rsidR="002820EE">
        <w:rPr>
          <w:rFonts w:cs="Arial"/>
        </w:rPr>
        <w:t>atients t</w:t>
      </w:r>
      <w:r w:rsidR="005B5B50" w:rsidRPr="006A60EF">
        <w:rPr>
          <w:rFonts w:cs="Arial"/>
        </w:rPr>
        <w:t xml:space="preserve">o </w:t>
      </w:r>
      <w:r w:rsidR="00AB4E93">
        <w:rPr>
          <w:rFonts w:cs="Arial"/>
        </w:rPr>
        <w:t>taper</w:t>
      </w:r>
      <w:r w:rsidR="005B5B50" w:rsidRPr="006A60EF">
        <w:rPr>
          <w:rFonts w:cs="Arial"/>
        </w:rPr>
        <w:t xml:space="preserve"> </w:t>
      </w:r>
      <w:r w:rsidR="002820EE">
        <w:rPr>
          <w:rFonts w:cs="Arial"/>
        </w:rPr>
        <w:t>the</w:t>
      </w:r>
      <w:r w:rsidR="0040486D">
        <w:rPr>
          <w:rFonts w:cs="Arial"/>
        </w:rPr>
        <w:t xml:space="preserve"> opioid</w:t>
      </w:r>
      <w:r w:rsidR="002820EE">
        <w:rPr>
          <w:rFonts w:cs="Arial"/>
        </w:rPr>
        <w:t xml:space="preserve"> dose </w:t>
      </w:r>
      <w:r w:rsidR="005B5B50" w:rsidRPr="006A60EF">
        <w:rPr>
          <w:rFonts w:cs="Arial"/>
        </w:rPr>
        <w:t xml:space="preserve">between </w:t>
      </w:r>
      <w:r w:rsidR="002820EE">
        <w:rPr>
          <w:rFonts w:cs="Arial"/>
        </w:rPr>
        <w:t>‘flare-ups’</w:t>
      </w:r>
      <w:r w:rsidR="005B5B50" w:rsidRPr="006A60EF">
        <w:rPr>
          <w:rFonts w:cs="Arial"/>
        </w:rPr>
        <w:t>.</w:t>
      </w:r>
    </w:p>
    <w:p w14:paraId="524C9916" w14:textId="17885AF4" w:rsidR="00934D7C" w:rsidRDefault="00934D7C" w:rsidP="00934D7C">
      <w:pPr>
        <w:pStyle w:val="ListParagraph"/>
        <w:numPr>
          <w:ilvl w:val="0"/>
          <w:numId w:val="8"/>
        </w:numPr>
        <w:rPr>
          <w:rFonts w:cs="Arial"/>
        </w:rPr>
      </w:pPr>
      <w:r w:rsidRPr="006A60EF">
        <w:rPr>
          <w:rFonts w:cs="Arial"/>
        </w:rPr>
        <w:t xml:space="preserve">See </w:t>
      </w:r>
      <w:hyperlink w:anchor="practicetoptips" w:history="1">
        <w:r w:rsidRPr="002820EE">
          <w:rPr>
            <w:rStyle w:val="Hyperlink"/>
            <w:rFonts w:cs="Arial"/>
          </w:rPr>
          <w:t>practice top tips</w:t>
        </w:r>
      </w:hyperlink>
      <w:r w:rsidRPr="006A60EF">
        <w:rPr>
          <w:rFonts w:cs="Arial"/>
        </w:rPr>
        <w:t xml:space="preserve"> for opioid review and patient risk.</w:t>
      </w:r>
      <w:r w:rsidR="00FE6856">
        <w:rPr>
          <w:rFonts w:cs="Arial"/>
        </w:rPr>
        <w:t xml:space="preserve">  Avo</w:t>
      </w:r>
      <w:r w:rsidR="001E6382">
        <w:rPr>
          <w:rFonts w:cs="Arial"/>
        </w:rPr>
        <w:t>id abrupt discontinuation.</w:t>
      </w:r>
    </w:p>
    <w:p w14:paraId="41B3B9EF" w14:textId="77777777" w:rsidR="005B5B50" w:rsidRPr="006A60EF" w:rsidRDefault="005B5B50" w:rsidP="005B5B50">
      <w:pPr>
        <w:rPr>
          <w:rFonts w:cs="Arial"/>
          <w:b/>
          <w:bCs/>
        </w:rPr>
      </w:pPr>
      <w:r w:rsidRPr="006A60EF">
        <w:rPr>
          <w:rFonts w:cs="Arial"/>
          <w:b/>
          <w:bCs/>
        </w:rPr>
        <w:t>Patients transferring from another GP surgery</w:t>
      </w:r>
    </w:p>
    <w:p w14:paraId="0D40AB27" w14:textId="30773717" w:rsidR="00C26C9C" w:rsidRDefault="00631801" w:rsidP="00C26C9C">
      <w:pPr>
        <w:pStyle w:val="ListParagraph"/>
        <w:numPr>
          <w:ilvl w:val="0"/>
          <w:numId w:val="9"/>
        </w:numPr>
      </w:pPr>
      <w:r>
        <w:t>Obtai</w:t>
      </w:r>
      <w:r w:rsidR="00F443F7">
        <w:t>n a</w:t>
      </w:r>
      <w:r w:rsidR="00C26C9C">
        <w:t xml:space="preserve">ccurate clinical information before initiating any prescribing. It may take time to obtain the necessary medical records and information regarding a patient’s condition. In line with practice policy, </w:t>
      </w:r>
      <w:r w:rsidR="00F443F7">
        <w:t xml:space="preserve">do not prescribe </w:t>
      </w:r>
      <w:r w:rsidR="00AB618C">
        <w:t>dependency-forming medicines</w:t>
      </w:r>
      <w:r w:rsidR="00591249">
        <w:t xml:space="preserve"> </w:t>
      </w:r>
      <w:r w:rsidR="00AB618C">
        <w:t xml:space="preserve">before </w:t>
      </w:r>
      <w:r w:rsidR="00366E69">
        <w:t>complet</w:t>
      </w:r>
      <w:r w:rsidR="00AB618C">
        <w:t xml:space="preserve">ing </w:t>
      </w:r>
      <w:r w:rsidR="00C26C9C">
        <w:t xml:space="preserve">a comprehensive clinical assessment and </w:t>
      </w:r>
      <w:r w:rsidR="00366E69">
        <w:t xml:space="preserve">obtaining </w:t>
      </w:r>
      <w:r w:rsidR="00C26C9C">
        <w:t>sufficient information.</w:t>
      </w:r>
    </w:p>
    <w:p w14:paraId="3BD6371F" w14:textId="4DBA19F3" w:rsidR="002B1285" w:rsidRDefault="00C26C9C" w:rsidP="00AB618C">
      <w:pPr>
        <w:pStyle w:val="ListParagraph"/>
        <w:numPr>
          <w:ilvl w:val="0"/>
          <w:numId w:val="9"/>
        </w:numPr>
      </w:pPr>
      <w:r>
        <w:t xml:space="preserve">Continuation of </w:t>
      </w:r>
      <w:r w:rsidR="00AB618C">
        <w:t>previously prescribed</w:t>
      </w:r>
      <w:r>
        <w:t xml:space="preserve"> opioid medications is not guaranteed. </w:t>
      </w:r>
      <w:r w:rsidR="005B11F5">
        <w:t>F</w:t>
      </w:r>
      <w:r w:rsidR="00C22D31">
        <w:t>o</w:t>
      </w:r>
      <w:r w:rsidR="005B11F5">
        <w:t>llowing assessment</w:t>
      </w:r>
      <w:r w:rsidR="00E87893">
        <w:t>, a c</w:t>
      </w:r>
      <w:r w:rsidR="00313C06">
        <w:t>linician</w:t>
      </w:r>
      <w:r>
        <w:t xml:space="preserve"> may decide not to continue an opioid </w:t>
      </w:r>
      <w:r w:rsidR="00E87893">
        <w:t xml:space="preserve">if it is </w:t>
      </w:r>
      <w:r>
        <w:t xml:space="preserve">inappropriate or unsuitable. In accordance with practice policy, </w:t>
      </w:r>
      <w:r w:rsidR="0055083B">
        <w:t xml:space="preserve">do </w:t>
      </w:r>
      <w:r>
        <w:t>not prescribe</w:t>
      </w:r>
      <w:r w:rsidR="00C22D31">
        <w:t xml:space="preserve"> </w:t>
      </w:r>
      <w:r w:rsidR="00AB618C">
        <w:t>dependency-forming medicines</w:t>
      </w:r>
      <w:r>
        <w:t xml:space="preserve"> if previous prescribing </w:t>
      </w:r>
      <w:r w:rsidR="00AB618C">
        <w:t>wa</w:t>
      </w:r>
      <w:r>
        <w:t>s clinically unjustified.</w:t>
      </w:r>
    </w:p>
    <w:p w14:paraId="16A49A5B" w14:textId="778260AE" w:rsidR="005B5B50" w:rsidRDefault="002B1285" w:rsidP="002B1285">
      <w:pPr>
        <w:pStyle w:val="ListParagraph"/>
        <w:numPr>
          <w:ilvl w:val="0"/>
          <w:numId w:val="9"/>
        </w:numPr>
      </w:pPr>
      <w:r>
        <w:t>Base o</w:t>
      </w:r>
      <w:r w:rsidR="00C26C9C">
        <w:t xml:space="preserve">pioid prescribing on clinical assessment and need. The </w:t>
      </w:r>
      <w:r w:rsidR="003D67C8">
        <w:t xml:space="preserve">clinician </w:t>
      </w:r>
      <w:r w:rsidR="00C26C9C">
        <w:t>determine</w:t>
      </w:r>
      <w:r>
        <w:t>s</w:t>
      </w:r>
      <w:r w:rsidR="00C26C9C">
        <w:t xml:space="preserve"> the appropriate strength and type of opioid, if indicated</w:t>
      </w:r>
      <w:r w:rsidR="00702C34">
        <w:t xml:space="preserve">, which may </w:t>
      </w:r>
      <w:r w:rsidR="00C26C9C">
        <w:t>differ from the medication prescribed by a previous GP practice, in line with safe prescribing standards and clinical guidelines.</w:t>
      </w:r>
    </w:p>
    <w:p w14:paraId="5AAB534D" w14:textId="077D7DAC" w:rsidR="005379C9" w:rsidRPr="005379C9" w:rsidRDefault="005379C9" w:rsidP="005379C9">
      <w:pPr>
        <w:rPr>
          <w:rFonts w:cs="Arial"/>
        </w:rPr>
      </w:pPr>
      <w:r w:rsidRPr="625DE85C">
        <w:rPr>
          <w:rFonts w:cs="Arial"/>
        </w:rPr>
        <w:t xml:space="preserve">Refer to the Summary of Product </w:t>
      </w:r>
      <w:r w:rsidR="00496FDB" w:rsidRPr="625DE85C">
        <w:rPr>
          <w:rFonts w:cs="Arial"/>
        </w:rPr>
        <w:t>Characteristics</w:t>
      </w:r>
      <w:r w:rsidRPr="625DE85C">
        <w:rPr>
          <w:rFonts w:cs="Arial"/>
        </w:rPr>
        <w:t xml:space="preserve"> </w:t>
      </w:r>
      <w:r w:rsidR="00A72B53">
        <w:rPr>
          <w:rFonts w:cs="Arial"/>
        </w:rPr>
        <w:t>(</w:t>
      </w:r>
      <w:hyperlink r:id="rId24">
        <w:r w:rsidR="00A72B53">
          <w:rPr>
            <w:color w:val="0000FF"/>
            <w:u w:val="single"/>
          </w:rPr>
          <w:t>SPCs</w:t>
        </w:r>
      </w:hyperlink>
      <w:r w:rsidR="00A72B53">
        <w:t>)</w:t>
      </w:r>
      <w:r>
        <w:t xml:space="preserve"> and BNF</w:t>
      </w:r>
    </w:p>
    <w:p w14:paraId="4712D977" w14:textId="6188C259" w:rsidR="625DE85C" w:rsidRDefault="625DE85C" w:rsidP="625DE85C">
      <w:pPr>
        <w:jc w:val="center"/>
        <w:rPr>
          <w:b/>
          <w:bCs/>
        </w:rPr>
      </w:pPr>
    </w:p>
    <w:p w14:paraId="4B765CB9" w14:textId="77777777" w:rsidR="005B11F5" w:rsidRDefault="005B11F5" w:rsidP="00B614D9">
      <w:pPr>
        <w:rPr>
          <w:b/>
          <w:bCs/>
        </w:rPr>
      </w:pPr>
    </w:p>
    <w:p w14:paraId="316B0C34" w14:textId="4363C230" w:rsidR="00A21741" w:rsidRDefault="00A21741" w:rsidP="00A21741">
      <w:pPr>
        <w:jc w:val="center"/>
        <w:rPr>
          <w:b/>
          <w:bCs/>
        </w:rPr>
      </w:pPr>
      <w:r w:rsidRPr="00A21741">
        <w:rPr>
          <w:b/>
          <w:bCs/>
        </w:rPr>
        <w:lastRenderedPageBreak/>
        <w:t>Opioid Traffic Light System for Reviews</w:t>
      </w:r>
    </w:p>
    <w:p w14:paraId="1A1CA96F" w14:textId="4B1603E9" w:rsidR="00BA5F9E" w:rsidRDefault="00BA5F9E" w:rsidP="00BA5F9E">
      <w:pPr>
        <w:rPr>
          <w:color w:val="000000" w:themeColor="text1"/>
          <w:sz w:val="22"/>
          <w:szCs w:val="22"/>
        </w:rPr>
      </w:pPr>
      <w:r w:rsidRPr="003F2CDB">
        <w:rPr>
          <w:b/>
          <w:bCs/>
          <w:color w:val="000000" w:themeColor="text1"/>
          <w:sz w:val="22"/>
          <w:szCs w:val="22"/>
        </w:rPr>
        <w:t xml:space="preserve">Opioid reduction </w:t>
      </w:r>
      <w:r w:rsidR="00376B8C" w:rsidRPr="003F2CDB">
        <w:rPr>
          <w:b/>
          <w:bCs/>
          <w:color w:val="000000" w:themeColor="text1"/>
          <w:sz w:val="22"/>
          <w:szCs w:val="22"/>
        </w:rPr>
        <w:t>is</w:t>
      </w:r>
      <w:r w:rsidRPr="003F2CDB">
        <w:rPr>
          <w:b/>
          <w:bCs/>
          <w:color w:val="000000" w:themeColor="text1"/>
          <w:sz w:val="22"/>
          <w:szCs w:val="22"/>
        </w:rPr>
        <w:t xml:space="preserve"> undertaken in partnership with the patient, with shared decision-making and as part of a holistic approach to pain management</w:t>
      </w:r>
      <w:r w:rsidRPr="00C013ED">
        <w:rPr>
          <w:color w:val="000000" w:themeColor="text1"/>
          <w:sz w:val="22"/>
          <w:szCs w:val="22"/>
        </w:rPr>
        <w:t xml:space="preserve">. Prescribers have a professional duty to minimise harm from </w:t>
      </w:r>
      <w:r w:rsidR="00B614D9" w:rsidRPr="00C013ED">
        <w:rPr>
          <w:color w:val="000000" w:themeColor="text1"/>
          <w:sz w:val="22"/>
          <w:szCs w:val="22"/>
        </w:rPr>
        <w:t>prescriptions</w:t>
      </w:r>
      <w:r w:rsidR="00B614D9">
        <w:rPr>
          <w:color w:val="000000" w:themeColor="text1"/>
          <w:sz w:val="22"/>
          <w:szCs w:val="22"/>
        </w:rPr>
        <w:t xml:space="preserve">; </w:t>
      </w:r>
      <w:r w:rsidR="00B614D9" w:rsidRPr="00C013ED">
        <w:rPr>
          <w:color w:val="000000" w:themeColor="text1"/>
          <w:sz w:val="22"/>
          <w:szCs w:val="22"/>
        </w:rPr>
        <w:t>there</w:t>
      </w:r>
      <w:r w:rsidRPr="00C013ED">
        <w:rPr>
          <w:color w:val="000000" w:themeColor="text1"/>
          <w:sz w:val="22"/>
          <w:szCs w:val="22"/>
        </w:rPr>
        <w:t xml:space="preserve"> may be instances where a prescriber feels unable to continue opioid prescriptions, even if the patient preference </w:t>
      </w:r>
      <w:r w:rsidR="008C5EF5" w:rsidRPr="00C013ED">
        <w:rPr>
          <w:color w:val="000000" w:themeColor="text1"/>
          <w:sz w:val="22"/>
          <w:szCs w:val="22"/>
        </w:rPr>
        <w:t xml:space="preserve">is </w:t>
      </w:r>
      <w:r w:rsidRPr="00C013ED">
        <w:rPr>
          <w:color w:val="000000" w:themeColor="text1"/>
          <w:sz w:val="22"/>
          <w:szCs w:val="22"/>
        </w:rPr>
        <w:t xml:space="preserve">to continue. In this situation, opioid prescriptions </w:t>
      </w:r>
      <w:r w:rsidR="00152AAF" w:rsidRPr="00C013ED">
        <w:rPr>
          <w:color w:val="000000" w:themeColor="text1"/>
          <w:sz w:val="22"/>
          <w:szCs w:val="22"/>
        </w:rPr>
        <w:t xml:space="preserve">are </w:t>
      </w:r>
      <w:r w:rsidRPr="00C013ED">
        <w:rPr>
          <w:color w:val="000000" w:themeColor="text1"/>
          <w:sz w:val="22"/>
          <w:szCs w:val="22"/>
        </w:rPr>
        <w:t xml:space="preserve">not stopped abruptly.  </w:t>
      </w:r>
      <w:r w:rsidR="00297C68">
        <w:rPr>
          <w:color w:val="000000" w:themeColor="text1"/>
          <w:sz w:val="22"/>
          <w:szCs w:val="22"/>
        </w:rPr>
        <w:t>A</w:t>
      </w:r>
      <w:r w:rsidRPr="00C013ED">
        <w:rPr>
          <w:color w:val="000000" w:themeColor="text1"/>
          <w:sz w:val="22"/>
          <w:szCs w:val="22"/>
        </w:rPr>
        <w:t xml:space="preserve"> second opinion </w:t>
      </w:r>
      <w:r w:rsidR="004E11A6">
        <w:rPr>
          <w:color w:val="000000" w:themeColor="text1"/>
          <w:sz w:val="22"/>
          <w:szCs w:val="22"/>
        </w:rPr>
        <w:t xml:space="preserve">should be </w:t>
      </w:r>
      <w:r w:rsidR="00C179DF" w:rsidRPr="00C013ED">
        <w:rPr>
          <w:color w:val="000000" w:themeColor="text1"/>
          <w:sz w:val="22"/>
          <w:szCs w:val="22"/>
        </w:rPr>
        <w:t xml:space="preserve">offered </w:t>
      </w:r>
      <w:r w:rsidRPr="00C013ED">
        <w:rPr>
          <w:color w:val="000000" w:themeColor="text1"/>
          <w:sz w:val="22"/>
          <w:szCs w:val="22"/>
        </w:rPr>
        <w:t xml:space="preserve">and a </w:t>
      </w:r>
      <w:r w:rsidR="00D8118D">
        <w:rPr>
          <w:color w:val="000000" w:themeColor="text1"/>
          <w:sz w:val="22"/>
          <w:szCs w:val="22"/>
        </w:rPr>
        <w:t>practice/</w:t>
      </w:r>
      <w:r w:rsidRPr="00C013ED">
        <w:rPr>
          <w:color w:val="000000" w:themeColor="text1"/>
          <w:sz w:val="22"/>
          <w:szCs w:val="22"/>
        </w:rPr>
        <w:t>MDT meeting</w:t>
      </w:r>
      <w:r w:rsidR="00D96A86" w:rsidRPr="00C013ED">
        <w:rPr>
          <w:color w:val="000000" w:themeColor="text1"/>
          <w:sz w:val="22"/>
          <w:szCs w:val="22"/>
        </w:rPr>
        <w:t xml:space="preserve"> undertaken </w:t>
      </w:r>
      <w:r w:rsidR="00D8118D">
        <w:rPr>
          <w:color w:val="000000" w:themeColor="text1"/>
          <w:sz w:val="22"/>
          <w:szCs w:val="22"/>
        </w:rPr>
        <w:t>if appropriate</w:t>
      </w:r>
      <w:r w:rsidRPr="00C013ED">
        <w:rPr>
          <w:color w:val="000000" w:themeColor="text1"/>
          <w:sz w:val="22"/>
          <w:szCs w:val="22"/>
        </w:rPr>
        <w:t>.</w:t>
      </w:r>
      <w:r w:rsidR="00516AC0" w:rsidRPr="00C013ED">
        <w:rPr>
          <w:color w:val="000000" w:themeColor="text1"/>
          <w:sz w:val="22"/>
          <w:szCs w:val="22"/>
        </w:rPr>
        <w:t xml:space="preserve">  </w:t>
      </w:r>
      <w:r w:rsidRPr="00C013ED">
        <w:rPr>
          <w:color w:val="000000" w:themeColor="text1"/>
          <w:sz w:val="22"/>
          <w:szCs w:val="22"/>
        </w:rPr>
        <w:t xml:space="preserve"> </w:t>
      </w:r>
      <w:r w:rsidR="00D82540">
        <w:rPr>
          <w:color w:val="000000" w:themeColor="text1"/>
          <w:sz w:val="22"/>
          <w:szCs w:val="22"/>
        </w:rPr>
        <w:t>C</w:t>
      </w:r>
      <w:r w:rsidRPr="00C013ED">
        <w:rPr>
          <w:color w:val="000000" w:themeColor="text1"/>
          <w:sz w:val="22"/>
          <w:szCs w:val="22"/>
        </w:rPr>
        <w:t>onsider when specialist input maybe required e.g. pain clinic, substance misuse, mental health.</w:t>
      </w:r>
      <w:r w:rsidR="00690842">
        <w:rPr>
          <w:color w:val="000000" w:themeColor="text1"/>
          <w:sz w:val="22"/>
          <w:szCs w:val="22"/>
        </w:rPr>
        <w:t xml:space="preserve">  </w:t>
      </w:r>
      <w:r w:rsidR="003E452B" w:rsidRPr="003E452B">
        <w:rPr>
          <w:color w:val="000000" w:themeColor="text1"/>
          <w:sz w:val="22"/>
          <w:szCs w:val="22"/>
        </w:rPr>
        <w:t>If in doubt or feeling pressure to prescribe outside of guidance, discuss at practice / MDT meeting.</w:t>
      </w:r>
    </w:p>
    <w:p w14:paraId="667EE761" w14:textId="49086643" w:rsidR="00346DC5" w:rsidRPr="00C013ED" w:rsidRDefault="00A405A8" w:rsidP="00346DC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addition to the indications </w:t>
      </w:r>
      <w:proofErr w:type="gramStart"/>
      <w:r>
        <w:rPr>
          <w:color w:val="000000" w:themeColor="text1"/>
          <w:sz w:val="22"/>
          <w:szCs w:val="22"/>
        </w:rPr>
        <w:t>below;</w:t>
      </w:r>
      <w:proofErr w:type="gramEnd"/>
      <w:r>
        <w:rPr>
          <w:color w:val="000000" w:themeColor="text1"/>
          <w:sz w:val="22"/>
          <w:szCs w:val="22"/>
        </w:rPr>
        <w:t xml:space="preserve"> it is important to taper / stop </w:t>
      </w:r>
      <w:r w:rsidR="00ED1939">
        <w:rPr>
          <w:color w:val="000000" w:themeColor="text1"/>
          <w:sz w:val="22"/>
          <w:szCs w:val="22"/>
        </w:rPr>
        <w:t>an</w:t>
      </w:r>
      <w:r>
        <w:rPr>
          <w:color w:val="000000" w:themeColor="text1"/>
          <w:sz w:val="22"/>
          <w:szCs w:val="22"/>
        </w:rPr>
        <w:t xml:space="preserve"> opioid if th</w:t>
      </w:r>
      <w:r w:rsidR="00346DC5" w:rsidRPr="00346DC5">
        <w:rPr>
          <w:color w:val="000000" w:themeColor="text1"/>
          <w:sz w:val="22"/>
          <w:szCs w:val="22"/>
        </w:rPr>
        <w:t>e underlying painful condition resolves</w:t>
      </w:r>
      <w:r>
        <w:rPr>
          <w:color w:val="000000" w:themeColor="text1"/>
          <w:sz w:val="22"/>
          <w:szCs w:val="22"/>
        </w:rPr>
        <w:t xml:space="preserve"> or t</w:t>
      </w:r>
      <w:r w:rsidR="00346DC5" w:rsidRPr="00346DC5">
        <w:rPr>
          <w:color w:val="000000" w:themeColor="text1"/>
          <w:sz w:val="22"/>
          <w:szCs w:val="22"/>
        </w:rPr>
        <w:t>he patient receives a definitive pain-relieving intervention (e.g., joint replacement).</w:t>
      </w:r>
    </w:p>
    <w:p w14:paraId="3AE29D07" w14:textId="370F2D44" w:rsidR="00BA5F9E" w:rsidRPr="00D12D7F" w:rsidRDefault="00C013ED" w:rsidP="00C46969">
      <w:pPr>
        <w:rPr>
          <w:color w:val="0070C0"/>
          <w:sz w:val="22"/>
          <w:szCs w:val="22"/>
        </w:rPr>
      </w:pPr>
      <w:r w:rsidRPr="00D12D7F">
        <w:rPr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61E0D4" wp14:editId="0F474CD8">
                <wp:simplePos x="0" y="0"/>
                <wp:positionH relativeFrom="margin">
                  <wp:posOffset>-127000</wp:posOffset>
                </wp:positionH>
                <wp:positionV relativeFrom="paragraph">
                  <wp:posOffset>6350</wp:posOffset>
                </wp:positionV>
                <wp:extent cx="6140450" cy="1924050"/>
                <wp:effectExtent l="0" t="0" r="12700" b="19050"/>
                <wp:wrapNone/>
                <wp:docPr id="83380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1924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B5B88" w14:textId="7CDD9040" w:rsidR="00B02BA4" w:rsidRPr="00C013ED" w:rsidRDefault="00B02BA4" w:rsidP="00C4696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13E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Lower </w:t>
                            </w:r>
                            <w:r w:rsid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Pr="00C013E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isk </w:t>
                            </w:r>
                            <w:r w:rsid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Pr="00C013E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atients</w:t>
                            </w:r>
                            <w:r w:rsid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Encourage Reduction</w:t>
                            </w:r>
                          </w:p>
                          <w:p w14:paraId="3151464A" w14:textId="681B673F" w:rsidR="00B02BA4" w:rsidRPr="0029258C" w:rsidRDefault="00D82540" w:rsidP="00C469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Dose: </w:t>
                            </w:r>
                            <w:r w:rsidR="00B02BA4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less than 50mg</w:t>
                            </w:r>
                            <w:r w:rsidR="005B5B50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5EC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oral </w:t>
                            </w:r>
                            <w:r w:rsidR="005B5B50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morphine equivalent per day</w:t>
                            </w:r>
                          </w:p>
                          <w:p w14:paraId="664F1997" w14:textId="554F7106" w:rsidR="00B02BA4" w:rsidRPr="0029258C" w:rsidRDefault="00D37315" w:rsidP="00B02B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No significant </w:t>
                            </w:r>
                            <w:r w:rsidR="00B02BA4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side effects </w:t>
                            </w:r>
                          </w:p>
                          <w:p w14:paraId="3B1E6523" w14:textId="62652779" w:rsidR="0029258C" w:rsidRPr="0029258C" w:rsidRDefault="0029258C" w:rsidP="000711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58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Review at least annually, ideally every 6 months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AF9BA51" w14:textId="542EFE23" w:rsidR="000711F0" w:rsidRPr="0029258C" w:rsidRDefault="000711F0" w:rsidP="000711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58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Discuss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with the patient about reducing opioids at every appropriate opportunity.   If pain flare</w:t>
                            </w:r>
                            <w:r w:rsidR="007124E2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7124E2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function dips after </w:t>
                            </w:r>
                            <w:r w:rsidR="00BA7687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 reduction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, support and encourage to persever</w:t>
                            </w:r>
                            <w:r w:rsidR="00953D6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F408D6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; symptoms often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settle as the body readjusts </w:t>
                            </w:r>
                            <w:r w:rsidR="00F408D6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with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pain </w:t>
                            </w:r>
                            <w:r w:rsidR="00F408D6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settling 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to pre-reduction level</w:t>
                            </w:r>
                            <w:r w:rsidR="00F408D6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If pain doesn’t  settle and the patient felt significantly better on the higher dose, </w:t>
                            </w:r>
                            <w:r w:rsidR="0040093D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consider returning 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to the previous dose.</w:t>
                            </w:r>
                            <w:r w:rsidR="00835CAC"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D38D07" w14:textId="77777777" w:rsidR="000711F0" w:rsidRPr="000711F0" w:rsidRDefault="000711F0" w:rsidP="000711F0">
                            <w:p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FCFC784" w14:textId="77777777" w:rsidR="00B02BA4" w:rsidRDefault="00B02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1E0D4" id="Rectangle: Rounded Corners 1" o:spid="_x0000_s1026" style="position:absolute;margin-left:-10pt;margin-top:.5pt;width:483.5pt;height:151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" fillcolor="#84e290 [1302]" strokecolor="black [3213]" strokeweight="1pt">
                <v:fill color2="#84e290 [1302]" rotate="t" angle="180" colors="0 #abfcb4;.5 #cbfcd0;1 #e5fde7" focus="100%" type="gradient"/>
                <v:stroke joinstyle="miter"/>
                <v:textbox>
                  <w:txbxContent>
                    <w:p w14:paraId="32AB5B88" w14:textId="7CDD9040" w:rsidR="00B02BA4" w:rsidRPr="00C013ED" w:rsidRDefault="00B02BA4" w:rsidP="00C46969">
                      <w:pPr>
                        <w:spacing w:after="0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013E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Lower </w:t>
                      </w:r>
                      <w:r w:rsid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Pr="00C013E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isk </w:t>
                      </w:r>
                      <w:r w:rsid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Pr="00C013E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atients</w:t>
                      </w:r>
                      <w:r w:rsid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– Encourage Reduction</w:t>
                      </w:r>
                    </w:p>
                    <w:p w14:paraId="3151464A" w14:textId="681B673F" w:rsidR="00B02BA4" w:rsidRPr="0029258C" w:rsidRDefault="00D82540" w:rsidP="00C469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Dose: </w:t>
                      </w:r>
                      <w:r w:rsidR="00B02BA4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less than 50mg</w:t>
                      </w:r>
                      <w:r w:rsidR="005B5B50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F55EC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oral </w:t>
                      </w:r>
                      <w:r w:rsidR="005B5B50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morphine equivalent per day</w:t>
                      </w:r>
                    </w:p>
                    <w:p w14:paraId="664F1997" w14:textId="554F7106" w:rsidR="00B02BA4" w:rsidRPr="0029258C" w:rsidRDefault="00D37315" w:rsidP="00B02B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No significant </w:t>
                      </w:r>
                      <w:r w:rsidR="00B02BA4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side effects </w:t>
                      </w:r>
                    </w:p>
                    <w:p w14:paraId="3B1E6523" w14:textId="62652779" w:rsidR="0029258C" w:rsidRPr="0029258C" w:rsidRDefault="0029258C" w:rsidP="000711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9258C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Review at least annually, ideally every 6 months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3AF9BA51" w14:textId="542EFE23" w:rsidR="000711F0" w:rsidRPr="0029258C" w:rsidRDefault="000711F0" w:rsidP="000711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9258C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Discuss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with the patient about reducing opioids at every appropriate opportunity.   If pain flare</w:t>
                      </w:r>
                      <w:r w:rsidR="007124E2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s 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or </w:t>
                      </w:r>
                      <w:r w:rsidR="007124E2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function dips after </w:t>
                      </w:r>
                      <w:r w:rsidR="00BA7687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a reduction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, support and encourage to persever</w:t>
                      </w:r>
                      <w:r w:rsidR="00953D6A">
                        <w:rPr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F408D6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; symptoms often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settle as the body readjusts </w:t>
                      </w:r>
                      <w:proofErr w:type="gramStart"/>
                      <w:r w:rsidR="00F408D6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with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pain</w:t>
                      </w:r>
                      <w:proofErr w:type="gramEnd"/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408D6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settling 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to pre-reduction level</w:t>
                      </w:r>
                      <w:r w:rsidR="00F408D6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If pain </w:t>
                      </w:r>
                      <w:proofErr w:type="gramStart"/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doesn’t  settle</w:t>
                      </w:r>
                      <w:proofErr w:type="gramEnd"/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the patient felt significantly better on the higher dose, </w:t>
                      </w:r>
                      <w:r w:rsidR="0040093D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consider returning 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to the previous dose.</w:t>
                      </w:r>
                      <w:r w:rsidR="00835CAC"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D38D07" w14:textId="77777777" w:rsidR="000711F0" w:rsidRPr="000711F0" w:rsidRDefault="000711F0" w:rsidP="000711F0">
                      <w:p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FCFC784" w14:textId="77777777" w:rsidR="00B02BA4" w:rsidRDefault="00B02BA4"/>
                  </w:txbxContent>
                </v:textbox>
                <w10:wrap anchorx="margin"/>
              </v:roundrect>
            </w:pict>
          </mc:Fallback>
        </mc:AlternateContent>
      </w:r>
    </w:p>
    <w:p w14:paraId="1B737A94" w14:textId="2A4B8DE5" w:rsidR="00BA5F9E" w:rsidRDefault="00BA5F9E" w:rsidP="00C46969">
      <w:pPr>
        <w:rPr>
          <w:b/>
          <w:bCs/>
          <w:sz w:val="22"/>
          <w:szCs w:val="22"/>
        </w:rPr>
      </w:pPr>
    </w:p>
    <w:p w14:paraId="6AFE90AF" w14:textId="77777777" w:rsidR="000711F0" w:rsidRDefault="000711F0" w:rsidP="00C46969">
      <w:pPr>
        <w:rPr>
          <w:b/>
          <w:bCs/>
          <w:sz w:val="22"/>
          <w:szCs w:val="22"/>
        </w:rPr>
      </w:pPr>
    </w:p>
    <w:p w14:paraId="6D6C0358" w14:textId="77777777" w:rsidR="000711F0" w:rsidRDefault="000711F0" w:rsidP="00C46969">
      <w:pPr>
        <w:rPr>
          <w:b/>
          <w:bCs/>
          <w:sz w:val="22"/>
          <w:szCs w:val="22"/>
        </w:rPr>
      </w:pPr>
    </w:p>
    <w:p w14:paraId="5355B93E" w14:textId="77777777" w:rsidR="000711F0" w:rsidRDefault="000711F0" w:rsidP="00C46969">
      <w:pPr>
        <w:rPr>
          <w:b/>
          <w:bCs/>
          <w:sz w:val="22"/>
          <w:szCs w:val="22"/>
        </w:rPr>
      </w:pPr>
    </w:p>
    <w:p w14:paraId="3908D808" w14:textId="77777777" w:rsidR="000711F0" w:rsidRDefault="000711F0" w:rsidP="00C46969">
      <w:pPr>
        <w:rPr>
          <w:b/>
          <w:bCs/>
          <w:sz w:val="22"/>
          <w:szCs w:val="22"/>
        </w:rPr>
      </w:pPr>
    </w:p>
    <w:p w14:paraId="126301C3" w14:textId="743ADB3B" w:rsidR="000711F0" w:rsidRDefault="00835CAC" w:rsidP="00C46969">
      <w:pPr>
        <w:rPr>
          <w:b/>
          <w:bCs/>
          <w:sz w:val="22"/>
          <w:szCs w:val="22"/>
        </w:rPr>
      </w:pPr>
      <w:r w:rsidRPr="00D82540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641A03" wp14:editId="4DA365F0">
                <wp:simplePos x="0" y="0"/>
                <wp:positionH relativeFrom="margin">
                  <wp:posOffset>-88900</wp:posOffset>
                </wp:positionH>
                <wp:positionV relativeFrom="paragraph">
                  <wp:posOffset>300355</wp:posOffset>
                </wp:positionV>
                <wp:extent cx="6153150" cy="2381250"/>
                <wp:effectExtent l="0" t="0" r="19050" b="19050"/>
                <wp:wrapNone/>
                <wp:docPr id="18664913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3812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0C469" w14:textId="541CD164" w:rsidR="00D14BC8" w:rsidRPr="00851953" w:rsidRDefault="00D14BC8" w:rsidP="00DF593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51953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Medium </w:t>
                            </w:r>
                            <w:r w:rsid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Pr="00851953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isk </w:t>
                            </w:r>
                            <w:r w:rsidR="00CC1EC0"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atients </w:t>
                            </w:r>
                            <w:r w:rsidR="00CF3832"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- P</w:t>
                            </w:r>
                            <w:r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ersevere </w:t>
                            </w:r>
                            <w:r w:rsidR="00CF3832"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</w:t>
                            </w:r>
                            <w:r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ore </w:t>
                            </w:r>
                            <w:r w:rsidR="00CF3832"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trongly to </w:t>
                            </w:r>
                            <w:r w:rsidR="00CF3832"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Pr="00CF383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educe</w:t>
                            </w:r>
                          </w:p>
                          <w:p w14:paraId="087ED758" w14:textId="5AF3E979" w:rsidR="00D14BC8" w:rsidRPr="00851953" w:rsidRDefault="005A682E" w:rsidP="00DF59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contextualSpacing w:val="0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Dose: between </w:t>
                            </w:r>
                            <w:r w:rsidR="00D14BC8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50-</w:t>
                            </w:r>
                            <w:r w:rsidR="00D71BB3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90</w:t>
                            </w:r>
                            <w:r w:rsidR="00D14BC8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mg </w:t>
                            </w:r>
                            <w:r w:rsidR="009F55EC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oral </w:t>
                            </w:r>
                            <w:r w:rsidR="00D14BC8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morphine equivalent per day</w:t>
                            </w:r>
                            <w:r w:rsidR="00591F0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, especially whe</w:t>
                            </w:r>
                            <w:r w:rsidR="007F520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re</w:t>
                            </w:r>
                            <w:r w:rsidR="00591F0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opioid</w:t>
                            </w:r>
                            <w:r w:rsidR="007F520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7F520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591F0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not provid</w:t>
                            </w:r>
                            <w:r w:rsidR="007F520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591F0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useful pain relief and expos</w:t>
                            </w:r>
                            <w:r w:rsidR="00AC730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ure</w:t>
                            </w:r>
                            <w:r w:rsidR="00591F0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harm</w:t>
                            </w:r>
                            <w:r w:rsidR="00AC730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increases</w:t>
                            </w:r>
                            <w:r w:rsidR="00591F0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4A0EDB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C0137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97BF84" w14:textId="7DB868CF" w:rsidR="00B02BA4" w:rsidRDefault="00B02BA4" w:rsidP="00DF59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And/or where the opi</w:t>
                            </w:r>
                            <w:r w:rsidR="00071D47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oid is</w:t>
                            </w:r>
                            <w:r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not providing significant relief</w:t>
                            </w:r>
                          </w:p>
                          <w:p w14:paraId="03CB99FF" w14:textId="6C90E8B2" w:rsidR="004A10E3" w:rsidRPr="00851953" w:rsidRDefault="004A10E3" w:rsidP="004A10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58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Review at least every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Pr="0029258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months</w:t>
                            </w:r>
                            <w:r w:rsidRPr="002925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0A46FA" w14:textId="4E80C7AC" w:rsidR="00AE3A27" w:rsidRPr="00851953" w:rsidRDefault="00395566" w:rsidP="00DF59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We</w:t>
                            </w:r>
                            <w:r w:rsidR="00AE3A27" w:rsidRPr="00AE3A2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would need to encourage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these patients </w:t>
                            </w:r>
                            <w:r w:rsidR="00AE3A27" w:rsidRPr="00AE3A2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more strongly to reduce. If we agree to delay for any reason this should be revisited more frequently i.e. every 3 months  rather than every 6</w:t>
                            </w:r>
                            <w:r w:rsidR="00943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3A27" w:rsidRPr="00AE3A2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months. If</w:t>
                            </w:r>
                            <w:r w:rsidR="004C1D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AE3A27" w:rsidRPr="00AE3A2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patient starts reduction and then feels </w:t>
                            </w:r>
                            <w:r w:rsidR="004C1D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they </w:t>
                            </w:r>
                            <w:r w:rsidR="00AE3A27" w:rsidRPr="00AE3A2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need to go back up, this should be brought for a practice meeting</w:t>
                            </w:r>
                            <w:r w:rsidR="005D381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/</w:t>
                            </w:r>
                            <w:r w:rsidR="00AE3A27" w:rsidRPr="00AE3A2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MDT for wider discussion</w:t>
                            </w:r>
                          </w:p>
                          <w:p w14:paraId="185FB937" w14:textId="31F9C000" w:rsidR="004A0EDB" w:rsidRPr="00851953" w:rsidRDefault="004A0EDB" w:rsidP="00DF593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Pr="00851953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Opioids Aware has reduced the recommended oral morphine equivalent (OME) threshold from 120mg to 90mg/day, with an ideal target of 50mg/day.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41A03" id="Rectangle: Rounded Corners 3" o:spid="_x0000_s1027" style="position:absolute;margin-left:-7pt;margin-top:23.65pt;width:484.5pt;height:18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" fillcolor="#ffde80" strokecolor="#030e13 [484]" strokeweight="1pt">
                <v:fill color2="#fff3da" rotate="t" angle="180" colors="0 #ffde80;.5 #ffe8b3;1 #fff3da" focus="100%" type="gradient"/>
                <v:stroke joinstyle="miter"/>
                <v:textbox>
                  <w:txbxContent>
                    <w:p w14:paraId="40E0C469" w14:textId="541CD164" w:rsidR="00D14BC8" w:rsidRPr="00851953" w:rsidRDefault="00D14BC8" w:rsidP="00DF593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51953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Medium </w:t>
                      </w:r>
                      <w:r w:rsid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Pr="00851953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isk </w:t>
                      </w:r>
                      <w:r w:rsidR="00CC1EC0"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atients </w:t>
                      </w:r>
                      <w:r w:rsidR="00CF3832"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- P</w:t>
                      </w:r>
                      <w:r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ersevere </w:t>
                      </w:r>
                      <w:r w:rsidR="00CF3832"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</w:t>
                      </w:r>
                      <w:r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ore </w:t>
                      </w:r>
                      <w:r w:rsidR="00CF3832"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trongly to </w:t>
                      </w:r>
                      <w:r w:rsidR="00CF3832"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Pr="00CF383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educe</w:t>
                      </w:r>
                    </w:p>
                    <w:p w14:paraId="087ED758" w14:textId="5AF3E979" w:rsidR="00D14BC8" w:rsidRPr="00851953" w:rsidRDefault="005A682E" w:rsidP="00DF59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contextualSpacing w:val="0"/>
                        <w:rPr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Dose: between </w:t>
                      </w:r>
                      <w:r w:rsidR="00D14BC8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50-</w:t>
                      </w:r>
                      <w:r w:rsidR="00D71BB3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90</w:t>
                      </w:r>
                      <w:r w:rsidR="00D14BC8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mg </w:t>
                      </w:r>
                      <w:r w:rsidR="009F55EC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oral </w:t>
                      </w:r>
                      <w:r w:rsidR="00D14BC8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morphine equivalent per day</w:t>
                      </w:r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, especially whe</w:t>
                      </w:r>
                      <w:r w:rsidR="007F5207">
                        <w:rPr>
                          <w:color w:val="000000" w:themeColor="text1"/>
                          <w:sz w:val="22"/>
                          <w:szCs w:val="22"/>
                        </w:rPr>
                        <w:t>re</w:t>
                      </w:r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opioid</w:t>
                      </w:r>
                      <w:r w:rsidR="007F5207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s </w:t>
                      </w:r>
                      <w:proofErr w:type="gramStart"/>
                      <w:r w:rsidR="007F5207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 </w:t>
                      </w:r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not</w:t>
                      </w:r>
                      <w:proofErr w:type="gramEnd"/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provid</w:t>
                      </w:r>
                      <w:r w:rsidR="007F5207">
                        <w:rPr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useful pain relief and expos</w:t>
                      </w:r>
                      <w:r w:rsidR="00AC7301">
                        <w:rPr>
                          <w:color w:val="000000" w:themeColor="text1"/>
                          <w:sz w:val="22"/>
                          <w:szCs w:val="22"/>
                        </w:rPr>
                        <w:t>ure</w:t>
                      </w:r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to harm</w:t>
                      </w:r>
                      <w:r w:rsidR="00AC730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increases</w:t>
                      </w:r>
                      <w:r w:rsidR="00591F0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4A0EDB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C0137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97BF84" w14:textId="7DB868CF" w:rsidR="00B02BA4" w:rsidRDefault="00B02BA4" w:rsidP="00DF59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And/or where the opi</w:t>
                      </w:r>
                      <w:r w:rsidR="00071D47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oid is</w:t>
                      </w:r>
                      <w:r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not providing significant relief</w:t>
                      </w:r>
                    </w:p>
                    <w:p w14:paraId="03CB99FF" w14:textId="6C90E8B2" w:rsidR="004A10E3" w:rsidRPr="00851953" w:rsidRDefault="004A10E3" w:rsidP="004A10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9258C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Review at least every </w:t>
                      </w: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Pr="0029258C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months</w:t>
                      </w:r>
                      <w:r w:rsidRPr="0029258C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100A46FA" w14:textId="4E80C7AC" w:rsidR="00AE3A27" w:rsidRPr="00851953" w:rsidRDefault="00395566" w:rsidP="00DF59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We</w:t>
                      </w:r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would need to encourage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these patients </w:t>
                      </w:r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more strongly to reduce. If we agree to delay for any reason this should be revisited more frequently i.e. every 3 </w:t>
                      </w:r>
                      <w:proofErr w:type="gramStart"/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>months  rather</w:t>
                      </w:r>
                      <w:proofErr w:type="gramEnd"/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than every 6</w:t>
                      </w:r>
                      <w:r w:rsidR="00943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>months. If</w:t>
                      </w:r>
                      <w:r w:rsidR="004C1D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</w:t>
                      </w:r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patient starts reduction and then feels </w:t>
                      </w:r>
                      <w:r w:rsidR="004C1D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they </w:t>
                      </w:r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>need to go back up, this should be brought for a practice meeting</w:t>
                      </w:r>
                      <w:r w:rsidR="005D3814">
                        <w:rPr>
                          <w:color w:val="000000" w:themeColor="text1"/>
                          <w:sz w:val="22"/>
                          <w:szCs w:val="22"/>
                        </w:rPr>
                        <w:t>/</w:t>
                      </w:r>
                      <w:r w:rsidR="00AE3A27" w:rsidRPr="00AE3A27">
                        <w:rPr>
                          <w:color w:val="000000" w:themeColor="text1"/>
                          <w:sz w:val="22"/>
                          <w:szCs w:val="22"/>
                        </w:rPr>
                        <w:t>MDT for wider discussion</w:t>
                      </w:r>
                    </w:p>
                    <w:p w14:paraId="185FB937" w14:textId="31F9C000" w:rsidR="004A0EDB" w:rsidRPr="00851953" w:rsidRDefault="004A0EDB" w:rsidP="00DF5934">
                      <w:pPr>
                        <w:spacing w:after="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Pr="00851953">
                        <w:rPr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Opioids Aware has reduced the recommended oral morphine equivalent (OME) threshold from 120mg to 90mg/day, with an ideal target of 50mg/day.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421757" w14:textId="50E846C8" w:rsidR="000711F0" w:rsidRPr="00D12D7F" w:rsidRDefault="000711F0" w:rsidP="00C46969">
      <w:pPr>
        <w:rPr>
          <w:b/>
          <w:bCs/>
          <w:sz w:val="22"/>
          <w:szCs w:val="22"/>
        </w:rPr>
      </w:pPr>
    </w:p>
    <w:p w14:paraId="786E998A" w14:textId="6832223F" w:rsidR="00FB1E4E" w:rsidRDefault="00FB1E4E" w:rsidP="00A21741">
      <w:pPr>
        <w:spacing w:before="60" w:line="240" w:lineRule="auto"/>
        <w:rPr>
          <w:color w:val="0070C0"/>
          <w:sz w:val="22"/>
          <w:szCs w:val="22"/>
        </w:rPr>
      </w:pPr>
    </w:p>
    <w:p w14:paraId="13724706" w14:textId="3463D04D" w:rsidR="005B5B50" w:rsidRDefault="005B5B50" w:rsidP="003471A1">
      <w:pPr>
        <w:rPr>
          <w:color w:val="0070C0"/>
        </w:rPr>
      </w:pPr>
    </w:p>
    <w:p w14:paraId="39519277" w14:textId="4F77D769" w:rsidR="00D14BC8" w:rsidRDefault="00D14BC8" w:rsidP="003471A1">
      <w:pPr>
        <w:rPr>
          <w:color w:val="0070C0"/>
        </w:rPr>
      </w:pPr>
    </w:p>
    <w:p w14:paraId="2A414202" w14:textId="078FF810" w:rsidR="00D14BC8" w:rsidRDefault="00D14BC8" w:rsidP="003471A1">
      <w:pPr>
        <w:rPr>
          <w:color w:val="0070C0"/>
        </w:rPr>
      </w:pPr>
    </w:p>
    <w:p w14:paraId="77739B29" w14:textId="2BDD54D1" w:rsidR="00D14BC8" w:rsidRDefault="00D14BC8" w:rsidP="003471A1">
      <w:pPr>
        <w:rPr>
          <w:color w:val="0070C0"/>
        </w:rPr>
      </w:pPr>
    </w:p>
    <w:p w14:paraId="1689932A" w14:textId="77777777" w:rsidR="005A682E" w:rsidRDefault="005A682E" w:rsidP="00665B44">
      <w:pPr>
        <w:rPr>
          <w:b/>
          <w:bCs/>
          <w:color w:val="0070C0"/>
          <w:sz w:val="22"/>
          <w:szCs w:val="22"/>
        </w:rPr>
      </w:pPr>
    </w:p>
    <w:p w14:paraId="5997D882" w14:textId="23151F09" w:rsidR="00AE3EA4" w:rsidRPr="00FB1E4E" w:rsidRDefault="00807604" w:rsidP="00665B44">
      <w:pPr>
        <w:rPr>
          <w:color w:val="0070C0"/>
          <w:sz w:val="22"/>
          <w:szCs w:val="22"/>
        </w:rPr>
      </w:pPr>
      <w:r w:rsidRPr="00851953">
        <w:rPr>
          <w:color w:val="000000" w:themeColor="text1"/>
          <w:sz w:val="22"/>
          <w:szCs w:val="22"/>
        </w:rPr>
        <w:t xml:space="preserve"> </w:t>
      </w:r>
    </w:p>
    <w:p w14:paraId="5E5628C0" w14:textId="7C545A62" w:rsidR="00AE3EA4" w:rsidRDefault="004A10E3" w:rsidP="00665B44">
      <w:pPr>
        <w:rPr>
          <w:color w:val="0070C0"/>
        </w:rPr>
      </w:pPr>
      <w:r w:rsidRPr="00851953">
        <w:rPr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BB254" wp14:editId="6D68D084">
                <wp:simplePos x="0" y="0"/>
                <wp:positionH relativeFrom="margin">
                  <wp:posOffset>-146050</wp:posOffset>
                </wp:positionH>
                <wp:positionV relativeFrom="paragraph">
                  <wp:posOffset>97155</wp:posOffset>
                </wp:positionV>
                <wp:extent cx="6273800" cy="1600200"/>
                <wp:effectExtent l="0" t="0" r="12700" b="19050"/>
                <wp:wrapNone/>
                <wp:docPr id="5682855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160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0B0D8" w14:textId="6484BB5D" w:rsidR="00AE3EA4" w:rsidRPr="00851953" w:rsidRDefault="00AE3EA4" w:rsidP="00A21741">
                            <w:pPr>
                              <w:spacing w:after="8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51953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High</w:t>
                            </w:r>
                            <w:r w:rsid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isk </w:t>
                            </w:r>
                            <w:r w:rsid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atients </w:t>
                            </w:r>
                            <w:r w:rsidR="00CC1EC0"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– R</w:t>
                            </w:r>
                            <w:r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educe</w:t>
                            </w:r>
                            <w:r w:rsidR="00CC1EC0"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/</w:t>
                            </w:r>
                            <w:r w:rsidR="00CC1EC0"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Pr="00CC1EC0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top</w:t>
                            </w:r>
                          </w:p>
                          <w:p w14:paraId="4D6A7920" w14:textId="78ECC1BB" w:rsidR="00A21741" w:rsidRPr="00851953" w:rsidRDefault="00D30A33" w:rsidP="00210B7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Dose: </w:t>
                            </w:r>
                            <w:r w:rsidR="009F55EC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0mg </w:t>
                            </w:r>
                            <w:r w:rsidR="009F55EC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oral 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morphine </w:t>
                            </w:r>
                            <w:r w:rsidR="00D14BC8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equivalent 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per day</w:t>
                            </w:r>
                            <w:r w:rsidR="00D14BC8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, or more</w:t>
                            </w:r>
                            <w:r w:rsidR="00C23612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E13CE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especially when opioid is not providing useful pain relief and </w:t>
                            </w:r>
                            <w:r w:rsidR="00E0044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with</w:t>
                            </w:r>
                            <w:r w:rsidR="00E13CE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increased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risk of </w:t>
                            </w:r>
                            <w:r w:rsidR="00E13CE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harm.</w:t>
                            </w:r>
                          </w:p>
                          <w:p w14:paraId="0E9B1C1A" w14:textId="106BC077" w:rsidR="00A21741" w:rsidRPr="00851953" w:rsidRDefault="00D30A33" w:rsidP="00A2174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angerous comb</w:t>
                            </w:r>
                            <w:r w:rsidR="004B1B29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inations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6FDB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e.g.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opi</w:t>
                            </w:r>
                            <w:r w:rsidR="00763D6B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oid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gabapentionoid, especially </w:t>
                            </w:r>
                            <w:r w:rsidR="00A2174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over 65s</w:t>
                            </w:r>
                            <w:r w:rsidR="00A2174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C3FDC87" w14:textId="4E806288" w:rsidR="00A21741" w:rsidRPr="00851953" w:rsidRDefault="0029258C" w:rsidP="00A2174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rug seeking behaviour or signs of misuse</w:t>
                            </w:r>
                            <w:r w:rsidR="00A2174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FAD527" w14:textId="4482F986" w:rsidR="00A21741" w:rsidRPr="00851953" w:rsidRDefault="0029258C" w:rsidP="00A2174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="00A2174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ntolerable </w:t>
                            </w:r>
                            <w:r w:rsidR="00AE3EA4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side effects</w:t>
                            </w:r>
                            <w:r w:rsidR="00A21741" w:rsidRPr="0085195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423776" w14:textId="558C972E" w:rsidR="0029258C" w:rsidRPr="00851953" w:rsidRDefault="0029258C" w:rsidP="00A2174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60" w:line="24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258C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Review at least every 3 months</w:t>
                            </w:r>
                            <w:r w:rsidR="002B0D2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(indication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for tapering/stopping</w:t>
                            </w:r>
                            <w:r w:rsidR="002B0D2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58BED25" w14:textId="77777777" w:rsidR="00A21741" w:rsidRPr="00A21741" w:rsidRDefault="00A21741" w:rsidP="00A21741">
                            <w:pPr>
                              <w:pStyle w:val="ListParagraph"/>
                              <w:spacing w:after="60" w:line="240" w:lineRule="auto"/>
                              <w:ind w:left="360"/>
                              <w:rPr>
                                <w:color w:val="83CAEB" w:themeColor="accent1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BB254" id="Rectangle: Rounded Corners 2" o:spid="_x0000_s1028" style="position:absolute;margin-left:-11.5pt;margin-top:7.65pt;width:494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" fillcolor="#ff8080" strokecolor="#030e13 [484]" strokeweight="1pt">
                <v:fill color2="#ffdada" rotate="t" angle="180" colors="0 #ff8080;.5 #ffb3b3;1 #ffdada" focus="100%" type="gradient"/>
                <v:stroke joinstyle="miter"/>
                <v:textbox>
                  <w:txbxContent>
                    <w:p w14:paraId="1FD0B0D8" w14:textId="6484BB5D" w:rsidR="00AE3EA4" w:rsidRPr="00851953" w:rsidRDefault="00AE3EA4" w:rsidP="00A21741">
                      <w:pPr>
                        <w:spacing w:after="80" w:line="240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51953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High</w:t>
                      </w:r>
                      <w:r w:rsid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R</w:t>
                      </w:r>
                      <w:r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isk </w:t>
                      </w:r>
                      <w:r w:rsid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atients </w:t>
                      </w:r>
                      <w:r w:rsidR="00CC1EC0"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– R</w:t>
                      </w:r>
                      <w:r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educe</w:t>
                      </w:r>
                      <w:r w:rsidR="00CC1EC0"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/</w:t>
                      </w:r>
                      <w:r w:rsidR="00CC1EC0"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</w:t>
                      </w:r>
                      <w:r w:rsidRPr="00CC1EC0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top</w:t>
                      </w:r>
                    </w:p>
                    <w:p w14:paraId="4D6A7920" w14:textId="78ECC1BB" w:rsidR="00A21741" w:rsidRPr="00851953" w:rsidRDefault="00D30A33" w:rsidP="00210B7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Dose: </w:t>
                      </w:r>
                      <w:r w:rsidR="009F55EC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0mg </w:t>
                      </w:r>
                      <w:r w:rsidR="009F55EC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oral 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morphine </w:t>
                      </w:r>
                      <w:r w:rsidR="00D14BC8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equivalent 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per day</w:t>
                      </w:r>
                      <w:r w:rsidR="00D14BC8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, or more</w:t>
                      </w:r>
                      <w:r w:rsidR="00C23612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; </w:t>
                      </w:r>
                      <w:r w:rsidR="00E13CE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especially when opioid is not providing useful pain relief and </w:t>
                      </w:r>
                      <w:r w:rsidR="00E0044D">
                        <w:rPr>
                          <w:color w:val="000000" w:themeColor="text1"/>
                          <w:sz w:val="22"/>
                          <w:szCs w:val="22"/>
                        </w:rPr>
                        <w:t>with</w:t>
                      </w:r>
                      <w:r w:rsidR="00E13CE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increased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risk of </w:t>
                      </w:r>
                      <w:r w:rsidR="00E13CE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harm.</w:t>
                      </w:r>
                    </w:p>
                    <w:p w14:paraId="0E9B1C1A" w14:textId="106BC077" w:rsidR="00A21741" w:rsidRPr="00851953" w:rsidRDefault="00D30A33" w:rsidP="00A2174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angerous comb</w:t>
                      </w:r>
                      <w:r w:rsidR="004B1B29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inations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96FDB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e.g.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opi</w:t>
                      </w:r>
                      <w:r w:rsidR="00763D6B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oid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gabapentionoid</w:t>
                      </w:r>
                      <w:proofErr w:type="spellEnd"/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, especially </w:t>
                      </w:r>
                      <w:r w:rsidR="00A2174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 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over 65s</w:t>
                      </w:r>
                      <w:r w:rsidR="00A2174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6C3FDC87" w14:textId="4E806288" w:rsidR="00A21741" w:rsidRPr="00851953" w:rsidRDefault="0029258C" w:rsidP="00A2174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rug seeking behaviour or signs of misuse</w:t>
                      </w:r>
                      <w:r w:rsidR="00A2174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11FAD527" w14:textId="4482F986" w:rsidR="00A21741" w:rsidRPr="00851953" w:rsidRDefault="0029258C" w:rsidP="00A2174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="00A2174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ntolerable </w:t>
                      </w:r>
                      <w:r w:rsidR="00AE3EA4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side effects</w:t>
                      </w:r>
                      <w:r w:rsidR="00A21741" w:rsidRPr="00851953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7423776" w14:textId="558C972E" w:rsidR="0029258C" w:rsidRPr="00851953" w:rsidRDefault="0029258C" w:rsidP="00A2174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60" w:line="24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9258C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Review at least every 3 months</w:t>
                      </w:r>
                      <w:r w:rsidR="002B0D26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(indication </w:t>
                      </w: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for tapering/stopping</w:t>
                      </w:r>
                      <w:r w:rsidR="002B0D26">
                        <w:rPr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14:paraId="258BED25" w14:textId="77777777" w:rsidR="00A21741" w:rsidRPr="00A21741" w:rsidRDefault="00A21741" w:rsidP="00A21741">
                      <w:pPr>
                        <w:pStyle w:val="ListParagraph"/>
                        <w:spacing w:after="60" w:line="240" w:lineRule="auto"/>
                        <w:ind w:left="360"/>
                        <w:rPr>
                          <w:color w:val="83CAEB" w:themeColor="accent1" w:themeTint="6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A4AB09" w14:textId="7F2179E9" w:rsidR="00AE3EA4" w:rsidRDefault="00AE3EA4" w:rsidP="00665B44">
      <w:pPr>
        <w:rPr>
          <w:color w:val="0070C0"/>
        </w:rPr>
      </w:pPr>
    </w:p>
    <w:p w14:paraId="4C06509B" w14:textId="77777777" w:rsidR="00AE3EA4" w:rsidRDefault="00AE3EA4" w:rsidP="00665B44">
      <w:pPr>
        <w:rPr>
          <w:color w:val="0070C0"/>
        </w:rPr>
      </w:pPr>
    </w:p>
    <w:p w14:paraId="5EC57979" w14:textId="77777777" w:rsidR="00AE3EA4" w:rsidRDefault="00AE3EA4" w:rsidP="00665B44">
      <w:pPr>
        <w:rPr>
          <w:color w:val="0070C0"/>
        </w:rPr>
      </w:pPr>
    </w:p>
    <w:p w14:paraId="047E334A" w14:textId="3A51973E" w:rsidR="00690842" w:rsidRPr="00AD7E99" w:rsidRDefault="00A21741" w:rsidP="00665B44">
      <w:pPr>
        <w:rPr>
          <w:b/>
          <w:bCs/>
        </w:rPr>
      </w:pPr>
      <w:r w:rsidRPr="00807604">
        <w:rPr>
          <w:b/>
          <w:bCs/>
        </w:rPr>
        <w:t>Acknowledgements:</w:t>
      </w:r>
    </w:p>
    <w:p w14:paraId="64201E0A" w14:textId="7E6F4663" w:rsidR="006C58B0" w:rsidRPr="002D43D8" w:rsidRDefault="006C58B0" w:rsidP="00665B44">
      <w:pPr>
        <w:rPr>
          <w:b/>
          <w:bCs/>
        </w:rPr>
      </w:pPr>
      <w:r w:rsidRPr="002D43D8">
        <w:rPr>
          <w:b/>
          <w:bCs/>
        </w:rPr>
        <w:lastRenderedPageBreak/>
        <w:t>Acknowledgements</w:t>
      </w:r>
    </w:p>
    <w:p w14:paraId="2826CA51" w14:textId="1718EAE0" w:rsidR="00A21741" w:rsidRDefault="00854618" w:rsidP="00665B44">
      <w:r w:rsidRPr="002D43D8">
        <w:t>Adapted</w:t>
      </w:r>
      <w:r w:rsidR="00F82697" w:rsidRPr="002D43D8">
        <w:t xml:space="preserve"> by SY ICS</w:t>
      </w:r>
      <w:r w:rsidRPr="002D43D8">
        <w:t xml:space="preserve">, with </w:t>
      </w:r>
      <w:r w:rsidR="00A21741" w:rsidRPr="002D43D8">
        <w:t>thanks to The Scott Practice</w:t>
      </w:r>
      <w:r w:rsidR="006C3FCD" w:rsidRPr="002D43D8">
        <w:t xml:space="preserve"> in</w:t>
      </w:r>
      <w:r w:rsidR="00A21741" w:rsidRPr="002D43D8">
        <w:t xml:space="preserve"> Doncaster</w:t>
      </w:r>
      <w:r w:rsidR="00F82697" w:rsidRPr="002D43D8">
        <w:t xml:space="preserve"> for the use of </w:t>
      </w:r>
      <w:r w:rsidR="00A21741" w:rsidRPr="002D43D8">
        <w:t>their Practice Opioid SOP</w:t>
      </w:r>
      <w:r w:rsidR="006C3FCD" w:rsidRPr="002D43D8">
        <w:t xml:space="preserve"> and Traffic Light System.</w:t>
      </w:r>
    </w:p>
    <w:p w14:paraId="301FD75D" w14:textId="5272D68C" w:rsidR="00CD31B3" w:rsidRPr="002D43D8" w:rsidRDefault="00CD31B3" w:rsidP="00665B44">
      <w:r w:rsidRPr="00CD31B3">
        <w:t xml:space="preserve">Version 01, published </w:t>
      </w:r>
      <w:r>
        <w:t xml:space="preserve">on SY ICB MO website </w:t>
      </w:r>
      <w:r w:rsidRPr="00CD31B3">
        <w:t>June 2026</w:t>
      </w:r>
    </w:p>
    <w:p w14:paraId="7ACF980A" w14:textId="77777777" w:rsidR="002D43D8" w:rsidRDefault="002D43D8" w:rsidP="00665B44"/>
    <w:p w14:paraId="06FC54A4" w14:textId="67884D25" w:rsidR="00A21741" w:rsidRDefault="00A21741" w:rsidP="00665B44">
      <w:pPr>
        <w:rPr>
          <w:color w:val="FF0000"/>
        </w:rPr>
      </w:pPr>
      <w:r w:rsidRPr="5DD4D084">
        <w:rPr>
          <w:b/>
          <w:bCs/>
        </w:rPr>
        <w:t>Approval of this document:</w:t>
      </w:r>
      <w:r w:rsidR="1FA86EEA" w:rsidRPr="5DD4D084">
        <w:rPr>
          <w:b/>
          <w:bCs/>
        </w:rPr>
        <w:t xml:space="preserve"> </w:t>
      </w:r>
      <w:r w:rsidR="00AD25EE">
        <w:rPr>
          <w:color w:val="FF0000"/>
        </w:rPr>
        <w:t>[</w:t>
      </w:r>
      <w:r w:rsidR="00F82697">
        <w:rPr>
          <w:color w:val="FF0000"/>
        </w:rPr>
        <w:t>e.g. p</w:t>
      </w:r>
      <w:r w:rsidR="00AD25EE">
        <w:rPr>
          <w:color w:val="FF0000"/>
        </w:rPr>
        <w:t>ractice prescribing/medicines lead]</w:t>
      </w:r>
    </w:p>
    <w:p w14:paraId="034230E9" w14:textId="69E8F7EA" w:rsidR="00A21741" w:rsidRPr="00AD25EE" w:rsidRDefault="00AD25EE" w:rsidP="00665B44">
      <w:pPr>
        <w:rPr>
          <w:b/>
          <w:bCs/>
          <w:color w:val="FF0000"/>
        </w:rPr>
      </w:pPr>
      <w:r>
        <w:rPr>
          <w:b/>
          <w:bCs/>
        </w:rPr>
        <w:t xml:space="preserve">Date of approval: </w:t>
      </w:r>
      <w:r w:rsidRPr="00AD25EE">
        <w:rPr>
          <w:color w:val="FF0000"/>
        </w:rPr>
        <w:t>[Date]</w:t>
      </w:r>
    </w:p>
    <w:p w14:paraId="50758492" w14:textId="3595F4BF" w:rsidR="00AD25EE" w:rsidRPr="00665B44" w:rsidRDefault="00AD25EE" w:rsidP="00665B44">
      <w:pPr>
        <w:rPr>
          <w:color w:val="0070C0"/>
        </w:rPr>
      </w:pPr>
      <w:r>
        <w:rPr>
          <w:b/>
          <w:bCs/>
        </w:rPr>
        <w:t>Date of review:</w:t>
      </w:r>
      <w:r w:rsidRPr="00AD25EE">
        <w:rPr>
          <w:color w:val="FF0000"/>
        </w:rPr>
        <w:t xml:space="preserve"> [</w:t>
      </w:r>
      <w:r w:rsidR="00F82697">
        <w:rPr>
          <w:color w:val="FF0000"/>
        </w:rPr>
        <w:t>I</w:t>
      </w:r>
      <w:r w:rsidR="00AD707B">
        <w:rPr>
          <w:color w:val="FF0000"/>
        </w:rPr>
        <w:t>f no existing policy for reviews, we suggest 2yrs</w:t>
      </w:r>
      <w:r w:rsidRPr="00AD25EE">
        <w:rPr>
          <w:color w:val="FF0000"/>
        </w:rPr>
        <w:t>]</w:t>
      </w:r>
    </w:p>
    <w:sectPr w:rsidR="00AD25EE" w:rsidRPr="00665B44" w:rsidSect="004549C5">
      <w:footerReference w:type="default" r:id="rId25"/>
      <w:headerReference w:type="first" r:id="rId2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A12A" w14:textId="77777777" w:rsidR="003D01EA" w:rsidRDefault="003D01EA" w:rsidP="002B59A7">
      <w:pPr>
        <w:spacing w:after="0" w:line="240" w:lineRule="auto"/>
      </w:pPr>
      <w:r>
        <w:separator/>
      </w:r>
    </w:p>
  </w:endnote>
  <w:endnote w:type="continuationSeparator" w:id="0">
    <w:p w14:paraId="34AA18E8" w14:textId="77777777" w:rsidR="003D01EA" w:rsidRDefault="003D01EA" w:rsidP="002B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89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C061C" w14:textId="542E96B5" w:rsidR="002B59A7" w:rsidRDefault="002B59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CAA70" w14:textId="77777777" w:rsidR="002B59A7" w:rsidRDefault="002B5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0780" w14:textId="77777777" w:rsidR="003D01EA" w:rsidRDefault="003D01EA" w:rsidP="002B59A7">
      <w:pPr>
        <w:spacing w:after="0" w:line="240" w:lineRule="auto"/>
      </w:pPr>
      <w:r>
        <w:separator/>
      </w:r>
    </w:p>
  </w:footnote>
  <w:footnote w:type="continuationSeparator" w:id="0">
    <w:p w14:paraId="200DB74E" w14:textId="77777777" w:rsidR="003D01EA" w:rsidRDefault="003D01EA" w:rsidP="002B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41FE" w14:textId="001344F2" w:rsidR="004549C5" w:rsidRPr="00090307" w:rsidRDefault="004549C5" w:rsidP="004549C5">
    <w:pPr>
      <w:rPr>
        <w:b/>
        <w:bCs/>
        <w:i/>
        <w:iCs/>
        <w:color w:val="FF0000"/>
      </w:rPr>
    </w:pPr>
    <w:r w:rsidRPr="00090307">
      <w:rPr>
        <w:b/>
        <w:bCs/>
        <w:i/>
        <w:iCs/>
        <w:color w:val="FF0000"/>
      </w:rPr>
      <w:t>This sample SOP has been developed by members of the South Yorkshire Opioid Safety Group for GP practices to adopt or adapt according to their local needs. We rec</w:t>
    </w:r>
    <w:r w:rsidR="00090307" w:rsidRPr="00090307">
      <w:rPr>
        <w:b/>
        <w:bCs/>
        <w:i/>
        <w:iCs/>
        <w:color w:val="FF0000"/>
      </w:rPr>
      <w:t xml:space="preserve">ommend deleting, replacing or completing areas </w:t>
    </w:r>
    <w:r w:rsidR="00090307">
      <w:rPr>
        <w:b/>
        <w:bCs/>
        <w:i/>
        <w:iCs/>
        <w:color w:val="FF0000"/>
      </w:rPr>
      <w:t>with</w:t>
    </w:r>
    <w:r w:rsidR="00090307" w:rsidRPr="00090307">
      <w:rPr>
        <w:b/>
        <w:bCs/>
        <w:i/>
        <w:iCs/>
        <w:color w:val="FF0000"/>
      </w:rPr>
      <w:t xml:space="preserve"> red</w:t>
    </w:r>
    <w:r w:rsidR="00090307">
      <w:rPr>
        <w:b/>
        <w:bCs/>
        <w:i/>
        <w:iCs/>
        <w:color w:val="FF0000"/>
      </w:rPr>
      <w:t xml:space="preserve"> text</w:t>
    </w:r>
    <w:r w:rsidR="00090307" w:rsidRPr="00090307">
      <w:rPr>
        <w:b/>
        <w:bCs/>
        <w:i/>
        <w:iCs/>
        <w:color w:val="FF0000"/>
      </w:rPr>
      <w:t>.</w:t>
    </w:r>
  </w:p>
  <w:p w14:paraId="40A97829" w14:textId="77777777" w:rsidR="004549C5" w:rsidRDefault="00454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8AE"/>
    <w:multiLevelType w:val="hybridMultilevel"/>
    <w:tmpl w:val="43B4ABB6"/>
    <w:lvl w:ilvl="0" w:tplc="0FF0CDC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85553"/>
    <w:multiLevelType w:val="hybridMultilevel"/>
    <w:tmpl w:val="49E0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B87"/>
    <w:multiLevelType w:val="hybridMultilevel"/>
    <w:tmpl w:val="D3AC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5828"/>
    <w:multiLevelType w:val="hybridMultilevel"/>
    <w:tmpl w:val="910CE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00BAE"/>
    <w:multiLevelType w:val="hybridMultilevel"/>
    <w:tmpl w:val="376C9984"/>
    <w:lvl w:ilvl="0" w:tplc="9328ED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7411E"/>
    <w:multiLevelType w:val="hybridMultilevel"/>
    <w:tmpl w:val="FCFE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576A3"/>
    <w:multiLevelType w:val="hybridMultilevel"/>
    <w:tmpl w:val="31FA8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03382"/>
    <w:multiLevelType w:val="hybridMultilevel"/>
    <w:tmpl w:val="B84A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D3E9F"/>
    <w:multiLevelType w:val="hybridMultilevel"/>
    <w:tmpl w:val="365A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1D73"/>
    <w:multiLevelType w:val="hybridMultilevel"/>
    <w:tmpl w:val="0DF4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3046C"/>
    <w:multiLevelType w:val="multilevel"/>
    <w:tmpl w:val="BF2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E6A7C"/>
    <w:multiLevelType w:val="hybridMultilevel"/>
    <w:tmpl w:val="BB008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2BC5"/>
    <w:multiLevelType w:val="hybridMultilevel"/>
    <w:tmpl w:val="BFA22F28"/>
    <w:lvl w:ilvl="0" w:tplc="60B208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0E82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53C1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FE67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0C0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2027D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4262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C40D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2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5B01623"/>
    <w:multiLevelType w:val="hybridMultilevel"/>
    <w:tmpl w:val="F3E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845CE"/>
    <w:multiLevelType w:val="hybridMultilevel"/>
    <w:tmpl w:val="4A4A8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C0E96"/>
    <w:multiLevelType w:val="hybridMultilevel"/>
    <w:tmpl w:val="63506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E7456C"/>
    <w:multiLevelType w:val="hybridMultilevel"/>
    <w:tmpl w:val="043A8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4730C2"/>
    <w:multiLevelType w:val="hybridMultilevel"/>
    <w:tmpl w:val="74D22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1069802">
    <w:abstractNumId w:val="3"/>
  </w:num>
  <w:num w:numId="2" w16cid:durableId="1649749275">
    <w:abstractNumId w:val="2"/>
  </w:num>
  <w:num w:numId="3" w16cid:durableId="628782720">
    <w:abstractNumId w:val="13"/>
  </w:num>
  <w:num w:numId="4" w16cid:durableId="148792725">
    <w:abstractNumId w:val="11"/>
  </w:num>
  <w:num w:numId="5" w16cid:durableId="2124300800">
    <w:abstractNumId w:val="8"/>
  </w:num>
  <w:num w:numId="6" w16cid:durableId="130680469">
    <w:abstractNumId w:val="0"/>
  </w:num>
  <w:num w:numId="7" w16cid:durableId="345013103">
    <w:abstractNumId w:val="6"/>
  </w:num>
  <w:num w:numId="8" w16cid:durableId="1978601820">
    <w:abstractNumId w:val="1"/>
  </w:num>
  <w:num w:numId="9" w16cid:durableId="910311342">
    <w:abstractNumId w:val="9"/>
  </w:num>
  <w:num w:numId="10" w16cid:durableId="1612787475">
    <w:abstractNumId w:val="7"/>
  </w:num>
  <w:num w:numId="11" w16cid:durableId="741441390">
    <w:abstractNumId w:val="14"/>
  </w:num>
  <w:num w:numId="12" w16cid:durableId="1653635733">
    <w:abstractNumId w:val="16"/>
  </w:num>
  <w:num w:numId="13" w16cid:durableId="1333335773">
    <w:abstractNumId w:val="4"/>
  </w:num>
  <w:num w:numId="14" w16cid:durableId="462886401">
    <w:abstractNumId w:val="12"/>
  </w:num>
  <w:num w:numId="15" w16cid:durableId="1660649092">
    <w:abstractNumId w:val="15"/>
  </w:num>
  <w:num w:numId="16" w16cid:durableId="733358909">
    <w:abstractNumId w:val="17"/>
  </w:num>
  <w:num w:numId="17" w16cid:durableId="1494179490">
    <w:abstractNumId w:val="5"/>
  </w:num>
  <w:num w:numId="18" w16cid:durableId="1920863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44"/>
    <w:rsid w:val="00002716"/>
    <w:rsid w:val="00002970"/>
    <w:rsid w:val="00006E04"/>
    <w:rsid w:val="00016452"/>
    <w:rsid w:val="0002360C"/>
    <w:rsid w:val="00026A3C"/>
    <w:rsid w:val="00026FC8"/>
    <w:rsid w:val="00035664"/>
    <w:rsid w:val="00035B4D"/>
    <w:rsid w:val="00037D04"/>
    <w:rsid w:val="00044AE5"/>
    <w:rsid w:val="00054922"/>
    <w:rsid w:val="0005686F"/>
    <w:rsid w:val="000625DD"/>
    <w:rsid w:val="00063337"/>
    <w:rsid w:val="0006531C"/>
    <w:rsid w:val="000711F0"/>
    <w:rsid w:val="00071D47"/>
    <w:rsid w:val="00086E19"/>
    <w:rsid w:val="00090307"/>
    <w:rsid w:val="000907AE"/>
    <w:rsid w:val="000C7E26"/>
    <w:rsid w:val="000D17EA"/>
    <w:rsid w:val="000E2670"/>
    <w:rsid w:val="000E3464"/>
    <w:rsid w:val="000E7C65"/>
    <w:rsid w:val="000F20FE"/>
    <w:rsid w:val="000F731E"/>
    <w:rsid w:val="001108F1"/>
    <w:rsid w:val="001140A5"/>
    <w:rsid w:val="00116274"/>
    <w:rsid w:val="00125D83"/>
    <w:rsid w:val="001300A7"/>
    <w:rsid w:val="0013092F"/>
    <w:rsid w:val="0013507C"/>
    <w:rsid w:val="001430FB"/>
    <w:rsid w:val="00147BEC"/>
    <w:rsid w:val="00152457"/>
    <w:rsid w:val="00152AAF"/>
    <w:rsid w:val="001602F3"/>
    <w:rsid w:val="001638C8"/>
    <w:rsid w:val="001651C8"/>
    <w:rsid w:val="00165385"/>
    <w:rsid w:val="0017364C"/>
    <w:rsid w:val="00181B61"/>
    <w:rsid w:val="00183474"/>
    <w:rsid w:val="00184355"/>
    <w:rsid w:val="001849C3"/>
    <w:rsid w:val="00185B67"/>
    <w:rsid w:val="00194614"/>
    <w:rsid w:val="001954CF"/>
    <w:rsid w:val="001A278E"/>
    <w:rsid w:val="001A2A33"/>
    <w:rsid w:val="001A2F28"/>
    <w:rsid w:val="001A3B9E"/>
    <w:rsid w:val="001A77DF"/>
    <w:rsid w:val="001B2A05"/>
    <w:rsid w:val="001B651A"/>
    <w:rsid w:val="001C0ED9"/>
    <w:rsid w:val="001D2240"/>
    <w:rsid w:val="001D3B31"/>
    <w:rsid w:val="001D3D56"/>
    <w:rsid w:val="001D6936"/>
    <w:rsid w:val="001E6382"/>
    <w:rsid w:val="001F064E"/>
    <w:rsid w:val="001F0E1C"/>
    <w:rsid w:val="001F160A"/>
    <w:rsid w:val="00200629"/>
    <w:rsid w:val="00210B71"/>
    <w:rsid w:val="002140B2"/>
    <w:rsid w:val="00214AAA"/>
    <w:rsid w:val="00230EF2"/>
    <w:rsid w:val="002325C5"/>
    <w:rsid w:val="002344A1"/>
    <w:rsid w:val="002349ED"/>
    <w:rsid w:val="00237586"/>
    <w:rsid w:val="00240E10"/>
    <w:rsid w:val="002420CD"/>
    <w:rsid w:val="00252E31"/>
    <w:rsid w:val="002547F5"/>
    <w:rsid w:val="00255B91"/>
    <w:rsid w:val="002734BD"/>
    <w:rsid w:val="00274A39"/>
    <w:rsid w:val="002772E0"/>
    <w:rsid w:val="002820EE"/>
    <w:rsid w:val="00282A0D"/>
    <w:rsid w:val="0029258C"/>
    <w:rsid w:val="0029324B"/>
    <w:rsid w:val="00293556"/>
    <w:rsid w:val="00293DBF"/>
    <w:rsid w:val="002964C1"/>
    <w:rsid w:val="00297C68"/>
    <w:rsid w:val="002A4629"/>
    <w:rsid w:val="002B0CE1"/>
    <w:rsid w:val="002B0D26"/>
    <w:rsid w:val="002B1285"/>
    <w:rsid w:val="002B59A7"/>
    <w:rsid w:val="002C03B8"/>
    <w:rsid w:val="002C4621"/>
    <w:rsid w:val="002D2876"/>
    <w:rsid w:val="002D3564"/>
    <w:rsid w:val="002D3C58"/>
    <w:rsid w:val="002D43D8"/>
    <w:rsid w:val="002D5F22"/>
    <w:rsid w:val="002D6510"/>
    <w:rsid w:val="002E37EA"/>
    <w:rsid w:val="002E59C2"/>
    <w:rsid w:val="002E78C3"/>
    <w:rsid w:val="002F5787"/>
    <w:rsid w:val="0030100D"/>
    <w:rsid w:val="0031081F"/>
    <w:rsid w:val="00313C06"/>
    <w:rsid w:val="00315AE3"/>
    <w:rsid w:val="0032166F"/>
    <w:rsid w:val="00322FB6"/>
    <w:rsid w:val="00330427"/>
    <w:rsid w:val="003378B0"/>
    <w:rsid w:val="00344F48"/>
    <w:rsid w:val="00346DC5"/>
    <w:rsid w:val="003471A1"/>
    <w:rsid w:val="00347D7B"/>
    <w:rsid w:val="00350310"/>
    <w:rsid w:val="00350AE6"/>
    <w:rsid w:val="00351906"/>
    <w:rsid w:val="00355A80"/>
    <w:rsid w:val="00355FEF"/>
    <w:rsid w:val="0035647C"/>
    <w:rsid w:val="00357534"/>
    <w:rsid w:val="003606E3"/>
    <w:rsid w:val="00366E69"/>
    <w:rsid w:val="0037667A"/>
    <w:rsid w:val="00376B8C"/>
    <w:rsid w:val="00381AA9"/>
    <w:rsid w:val="003827CB"/>
    <w:rsid w:val="00385FB4"/>
    <w:rsid w:val="00391304"/>
    <w:rsid w:val="00391A8B"/>
    <w:rsid w:val="003947EB"/>
    <w:rsid w:val="00395566"/>
    <w:rsid w:val="00397752"/>
    <w:rsid w:val="003A3933"/>
    <w:rsid w:val="003A3EA8"/>
    <w:rsid w:val="003A7D87"/>
    <w:rsid w:val="003B02AB"/>
    <w:rsid w:val="003B280E"/>
    <w:rsid w:val="003B4799"/>
    <w:rsid w:val="003B6054"/>
    <w:rsid w:val="003B6FE5"/>
    <w:rsid w:val="003C18B0"/>
    <w:rsid w:val="003C3214"/>
    <w:rsid w:val="003C431B"/>
    <w:rsid w:val="003D01EA"/>
    <w:rsid w:val="003D1A23"/>
    <w:rsid w:val="003D39CC"/>
    <w:rsid w:val="003D67C8"/>
    <w:rsid w:val="003E452B"/>
    <w:rsid w:val="003E6080"/>
    <w:rsid w:val="003E7363"/>
    <w:rsid w:val="003F2CDB"/>
    <w:rsid w:val="003F3792"/>
    <w:rsid w:val="0040093D"/>
    <w:rsid w:val="00402F26"/>
    <w:rsid w:val="0040486D"/>
    <w:rsid w:val="00405577"/>
    <w:rsid w:val="004057FF"/>
    <w:rsid w:val="00412CA9"/>
    <w:rsid w:val="004146F0"/>
    <w:rsid w:val="004209F7"/>
    <w:rsid w:val="00423E8C"/>
    <w:rsid w:val="004255C0"/>
    <w:rsid w:val="004345E7"/>
    <w:rsid w:val="00442B0A"/>
    <w:rsid w:val="00446099"/>
    <w:rsid w:val="004549C5"/>
    <w:rsid w:val="00463C88"/>
    <w:rsid w:val="00465ED5"/>
    <w:rsid w:val="00472A5B"/>
    <w:rsid w:val="0048033B"/>
    <w:rsid w:val="00486D4A"/>
    <w:rsid w:val="00494D32"/>
    <w:rsid w:val="00496058"/>
    <w:rsid w:val="00496961"/>
    <w:rsid w:val="00496FDB"/>
    <w:rsid w:val="00497C5D"/>
    <w:rsid w:val="004A0EDB"/>
    <w:rsid w:val="004A10E3"/>
    <w:rsid w:val="004A1FEA"/>
    <w:rsid w:val="004A2160"/>
    <w:rsid w:val="004B1B29"/>
    <w:rsid w:val="004C0B0C"/>
    <w:rsid w:val="004C0E8F"/>
    <w:rsid w:val="004C1DA9"/>
    <w:rsid w:val="004C2C1C"/>
    <w:rsid w:val="004C67C6"/>
    <w:rsid w:val="004C6F39"/>
    <w:rsid w:val="004D1C12"/>
    <w:rsid w:val="004D25A7"/>
    <w:rsid w:val="004D2B96"/>
    <w:rsid w:val="004D2CC9"/>
    <w:rsid w:val="004D3086"/>
    <w:rsid w:val="004D3513"/>
    <w:rsid w:val="004D39FC"/>
    <w:rsid w:val="004D6898"/>
    <w:rsid w:val="004D6B92"/>
    <w:rsid w:val="004E0893"/>
    <w:rsid w:val="004E0F1D"/>
    <w:rsid w:val="004E11A6"/>
    <w:rsid w:val="004E1BB9"/>
    <w:rsid w:val="004E23C3"/>
    <w:rsid w:val="004E425C"/>
    <w:rsid w:val="004E61E1"/>
    <w:rsid w:val="004F28EE"/>
    <w:rsid w:val="005010F1"/>
    <w:rsid w:val="00504E0B"/>
    <w:rsid w:val="00505EDD"/>
    <w:rsid w:val="00507117"/>
    <w:rsid w:val="00511FBC"/>
    <w:rsid w:val="00516A67"/>
    <w:rsid w:val="00516AC0"/>
    <w:rsid w:val="00520161"/>
    <w:rsid w:val="005212EC"/>
    <w:rsid w:val="00522DA0"/>
    <w:rsid w:val="00523788"/>
    <w:rsid w:val="005237CA"/>
    <w:rsid w:val="00527BD4"/>
    <w:rsid w:val="00533C40"/>
    <w:rsid w:val="005379C9"/>
    <w:rsid w:val="00541167"/>
    <w:rsid w:val="005432C9"/>
    <w:rsid w:val="00546612"/>
    <w:rsid w:val="0055083B"/>
    <w:rsid w:val="00555F8A"/>
    <w:rsid w:val="00556CBD"/>
    <w:rsid w:val="0055778B"/>
    <w:rsid w:val="00560192"/>
    <w:rsid w:val="00561237"/>
    <w:rsid w:val="005652A7"/>
    <w:rsid w:val="005663C0"/>
    <w:rsid w:val="005667EC"/>
    <w:rsid w:val="005723E3"/>
    <w:rsid w:val="005768D7"/>
    <w:rsid w:val="00577C68"/>
    <w:rsid w:val="00580415"/>
    <w:rsid w:val="00585207"/>
    <w:rsid w:val="00590D6B"/>
    <w:rsid w:val="00591249"/>
    <w:rsid w:val="00591F09"/>
    <w:rsid w:val="005920A0"/>
    <w:rsid w:val="005952B1"/>
    <w:rsid w:val="005A4944"/>
    <w:rsid w:val="005A682E"/>
    <w:rsid w:val="005B11F5"/>
    <w:rsid w:val="005B3B8A"/>
    <w:rsid w:val="005B3CB8"/>
    <w:rsid w:val="005B4449"/>
    <w:rsid w:val="005B5B50"/>
    <w:rsid w:val="005B76E7"/>
    <w:rsid w:val="005C2B0A"/>
    <w:rsid w:val="005C32A8"/>
    <w:rsid w:val="005D3341"/>
    <w:rsid w:val="005D3814"/>
    <w:rsid w:val="005D457D"/>
    <w:rsid w:val="005D64E7"/>
    <w:rsid w:val="005E03E2"/>
    <w:rsid w:val="005E287A"/>
    <w:rsid w:val="005E3963"/>
    <w:rsid w:val="005E5ED3"/>
    <w:rsid w:val="005F1D83"/>
    <w:rsid w:val="005F46D7"/>
    <w:rsid w:val="006044D1"/>
    <w:rsid w:val="0061329C"/>
    <w:rsid w:val="00615B7F"/>
    <w:rsid w:val="00617B93"/>
    <w:rsid w:val="0062499C"/>
    <w:rsid w:val="00624DA6"/>
    <w:rsid w:val="00625EC1"/>
    <w:rsid w:val="006273DE"/>
    <w:rsid w:val="00630F5A"/>
    <w:rsid w:val="0063130C"/>
    <w:rsid w:val="00631801"/>
    <w:rsid w:val="00633A9B"/>
    <w:rsid w:val="00633B45"/>
    <w:rsid w:val="006366C5"/>
    <w:rsid w:val="006614B4"/>
    <w:rsid w:val="00665B44"/>
    <w:rsid w:val="00665C01"/>
    <w:rsid w:val="00666ABD"/>
    <w:rsid w:val="006712BC"/>
    <w:rsid w:val="006739AE"/>
    <w:rsid w:val="00680360"/>
    <w:rsid w:val="00680846"/>
    <w:rsid w:val="00682F5B"/>
    <w:rsid w:val="00686421"/>
    <w:rsid w:val="006878E5"/>
    <w:rsid w:val="00690842"/>
    <w:rsid w:val="00696161"/>
    <w:rsid w:val="00697B2A"/>
    <w:rsid w:val="006A0523"/>
    <w:rsid w:val="006A60EF"/>
    <w:rsid w:val="006B55F9"/>
    <w:rsid w:val="006C156F"/>
    <w:rsid w:val="006C2A29"/>
    <w:rsid w:val="006C2BE3"/>
    <w:rsid w:val="006C3FCD"/>
    <w:rsid w:val="006C41BE"/>
    <w:rsid w:val="006C58B0"/>
    <w:rsid w:val="006C5F6D"/>
    <w:rsid w:val="006D03F5"/>
    <w:rsid w:val="006D1B30"/>
    <w:rsid w:val="006D7CF1"/>
    <w:rsid w:val="006E3994"/>
    <w:rsid w:val="006E3EAE"/>
    <w:rsid w:val="006E5C40"/>
    <w:rsid w:val="006E5EB4"/>
    <w:rsid w:val="006F0CB1"/>
    <w:rsid w:val="006F5E31"/>
    <w:rsid w:val="00702A7C"/>
    <w:rsid w:val="00702C34"/>
    <w:rsid w:val="00707C44"/>
    <w:rsid w:val="00710677"/>
    <w:rsid w:val="00711913"/>
    <w:rsid w:val="007124E2"/>
    <w:rsid w:val="007204CD"/>
    <w:rsid w:val="0073292B"/>
    <w:rsid w:val="00732F86"/>
    <w:rsid w:val="00733DE5"/>
    <w:rsid w:val="0074290C"/>
    <w:rsid w:val="00743B72"/>
    <w:rsid w:val="007464E3"/>
    <w:rsid w:val="00753A61"/>
    <w:rsid w:val="007559DF"/>
    <w:rsid w:val="007600C0"/>
    <w:rsid w:val="00761581"/>
    <w:rsid w:val="00762379"/>
    <w:rsid w:val="007623FD"/>
    <w:rsid w:val="00762586"/>
    <w:rsid w:val="00762BF6"/>
    <w:rsid w:val="00763D6B"/>
    <w:rsid w:val="007821F5"/>
    <w:rsid w:val="00791FA5"/>
    <w:rsid w:val="00795CB1"/>
    <w:rsid w:val="007A0D5B"/>
    <w:rsid w:val="007A1085"/>
    <w:rsid w:val="007A1464"/>
    <w:rsid w:val="007A4A05"/>
    <w:rsid w:val="007B0A7E"/>
    <w:rsid w:val="007B2AF5"/>
    <w:rsid w:val="007B4F02"/>
    <w:rsid w:val="007B5FAF"/>
    <w:rsid w:val="007D0ACA"/>
    <w:rsid w:val="007D1B9A"/>
    <w:rsid w:val="007D1F98"/>
    <w:rsid w:val="007E29E8"/>
    <w:rsid w:val="007E4637"/>
    <w:rsid w:val="007E53C3"/>
    <w:rsid w:val="007F0C91"/>
    <w:rsid w:val="007F42EB"/>
    <w:rsid w:val="007F5207"/>
    <w:rsid w:val="007F55BF"/>
    <w:rsid w:val="007F5C0F"/>
    <w:rsid w:val="00807604"/>
    <w:rsid w:val="0081100D"/>
    <w:rsid w:val="00813DB3"/>
    <w:rsid w:val="008179F5"/>
    <w:rsid w:val="0082191A"/>
    <w:rsid w:val="008234A4"/>
    <w:rsid w:val="008234C8"/>
    <w:rsid w:val="0082428B"/>
    <w:rsid w:val="008268CD"/>
    <w:rsid w:val="00826AE0"/>
    <w:rsid w:val="00827B6B"/>
    <w:rsid w:val="00830073"/>
    <w:rsid w:val="00835CAC"/>
    <w:rsid w:val="00837DFA"/>
    <w:rsid w:val="00840C04"/>
    <w:rsid w:val="00841F28"/>
    <w:rsid w:val="00842E10"/>
    <w:rsid w:val="008441EE"/>
    <w:rsid w:val="00845589"/>
    <w:rsid w:val="00845C5E"/>
    <w:rsid w:val="00851953"/>
    <w:rsid w:val="00854618"/>
    <w:rsid w:val="0086006F"/>
    <w:rsid w:val="00860464"/>
    <w:rsid w:val="008701AB"/>
    <w:rsid w:val="00870CD3"/>
    <w:rsid w:val="0087511A"/>
    <w:rsid w:val="00885AE0"/>
    <w:rsid w:val="0088698F"/>
    <w:rsid w:val="00890246"/>
    <w:rsid w:val="00893250"/>
    <w:rsid w:val="008947A7"/>
    <w:rsid w:val="00894D37"/>
    <w:rsid w:val="008A3904"/>
    <w:rsid w:val="008A4B55"/>
    <w:rsid w:val="008B2048"/>
    <w:rsid w:val="008B5F9E"/>
    <w:rsid w:val="008B78FC"/>
    <w:rsid w:val="008C2786"/>
    <w:rsid w:val="008C33C0"/>
    <w:rsid w:val="008C5EF5"/>
    <w:rsid w:val="008D2741"/>
    <w:rsid w:val="008D35D4"/>
    <w:rsid w:val="008D3BFE"/>
    <w:rsid w:val="008D6140"/>
    <w:rsid w:val="008E2722"/>
    <w:rsid w:val="008E58B2"/>
    <w:rsid w:val="008E6AE7"/>
    <w:rsid w:val="008E7D7A"/>
    <w:rsid w:val="008F4E23"/>
    <w:rsid w:val="008F673A"/>
    <w:rsid w:val="008F7123"/>
    <w:rsid w:val="0090056E"/>
    <w:rsid w:val="00901C20"/>
    <w:rsid w:val="00906921"/>
    <w:rsid w:val="00933929"/>
    <w:rsid w:val="0093464A"/>
    <w:rsid w:val="00934D30"/>
    <w:rsid w:val="00934D7C"/>
    <w:rsid w:val="00942E88"/>
    <w:rsid w:val="009435CE"/>
    <w:rsid w:val="00943D3D"/>
    <w:rsid w:val="00947048"/>
    <w:rsid w:val="009471A7"/>
    <w:rsid w:val="00951CC1"/>
    <w:rsid w:val="00953D6A"/>
    <w:rsid w:val="0095440F"/>
    <w:rsid w:val="009667AC"/>
    <w:rsid w:val="0098464E"/>
    <w:rsid w:val="009915B7"/>
    <w:rsid w:val="009A46E3"/>
    <w:rsid w:val="009A73F5"/>
    <w:rsid w:val="009B0BC6"/>
    <w:rsid w:val="009B5837"/>
    <w:rsid w:val="009C1126"/>
    <w:rsid w:val="009C3F2E"/>
    <w:rsid w:val="009E1E49"/>
    <w:rsid w:val="009E3720"/>
    <w:rsid w:val="009F55EC"/>
    <w:rsid w:val="009F7AE9"/>
    <w:rsid w:val="00A13957"/>
    <w:rsid w:val="00A17A58"/>
    <w:rsid w:val="00A21741"/>
    <w:rsid w:val="00A22737"/>
    <w:rsid w:val="00A22B75"/>
    <w:rsid w:val="00A23F5E"/>
    <w:rsid w:val="00A26434"/>
    <w:rsid w:val="00A26F29"/>
    <w:rsid w:val="00A379C0"/>
    <w:rsid w:val="00A405A8"/>
    <w:rsid w:val="00A51526"/>
    <w:rsid w:val="00A52034"/>
    <w:rsid w:val="00A561EC"/>
    <w:rsid w:val="00A65D01"/>
    <w:rsid w:val="00A72445"/>
    <w:rsid w:val="00A72B53"/>
    <w:rsid w:val="00A738EF"/>
    <w:rsid w:val="00A739CC"/>
    <w:rsid w:val="00A81291"/>
    <w:rsid w:val="00A84222"/>
    <w:rsid w:val="00A872D2"/>
    <w:rsid w:val="00A92130"/>
    <w:rsid w:val="00A92986"/>
    <w:rsid w:val="00A94103"/>
    <w:rsid w:val="00A957B7"/>
    <w:rsid w:val="00A95EA2"/>
    <w:rsid w:val="00A96AF8"/>
    <w:rsid w:val="00AA0F67"/>
    <w:rsid w:val="00AA5E6C"/>
    <w:rsid w:val="00AA6F5F"/>
    <w:rsid w:val="00AB0ED7"/>
    <w:rsid w:val="00AB3269"/>
    <w:rsid w:val="00AB4E93"/>
    <w:rsid w:val="00AB618C"/>
    <w:rsid w:val="00AB6DB5"/>
    <w:rsid w:val="00AC24D8"/>
    <w:rsid w:val="00AC49CC"/>
    <w:rsid w:val="00AC7301"/>
    <w:rsid w:val="00AC7AD5"/>
    <w:rsid w:val="00AD12AB"/>
    <w:rsid w:val="00AD25EE"/>
    <w:rsid w:val="00AD5035"/>
    <w:rsid w:val="00AD707B"/>
    <w:rsid w:val="00AD7E99"/>
    <w:rsid w:val="00AE12EE"/>
    <w:rsid w:val="00AE35D9"/>
    <w:rsid w:val="00AE3A27"/>
    <w:rsid w:val="00AE3EA4"/>
    <w:rsid w:val="00AE4BE5"/>
    <w:rsid w:val="00AF3901"/>
    <w:rsid w:val="00AF53EE"/>
    <w:rsid w:val="00AF706C"/>
    <w:rsid w:val="00B01864"/>
    <w:rsid w:val="00B02BA4"/>
    <w:rsid w:val="00B10008"/>
    <w:rsid w:val="00B14FA0"/>
    <w:rsid w:val="00B22BCF"/>
    <w:rsid w:val="00B256D3"/>
    <w:rsid w:val="00B27BFF"/>
    <w:rsid w:val="00B33D8B"/>
    <w:rsid w:val="00B44ACB"/>
    <w:rsid w:val="00B47B3C"/>
    <w:rsid w:val="00B5295B"/>
    <w:rsid w:val="00B54A48"/>
    <w:rsid w:val="00B614D9"/>
    <w:rsid w:val="00B73695"/>
    <w:rsid w:val="00B80E9D"/>
    <w:rsid w:val="00B80FCA"/>
    <w:rsid w:val="00B8285C"/>
    <w:rsid w:val="00B855D6"/>
    <w:rsid w:val="00B87259"/>
    <w:rsid w:val="00B95544"/>
    <w:rsid w:val="00B9684E"/>
    <w:rsid w:val="00BA22D7"/>
    <w:rsid w:val="00BA2A53"/>
    <w:rsid w:val="00BA3059"/>
    <w:rsid w:val="00BA5F9E"/>
    <w:rsid w:val="00BA62EA"/>
    <w:rsid w:val="00BA7687"/>
    <w:rsid w:val="00BB0344"/>
    <w:rsid w:val="00BB6FD6"/>
    <w:rsid w:val="00BC0B9B"/>
    <w:rsid w:val="00BD2BB5"/>
    <w:rsid w:val="00BE1613"/>
    <w:rsid w:val="00BF2108"/>
    <w:rsid w:val="00BF2118"/>
    <w:rsid w:val="00BF318E"/>
    <w:rsid w:val="00BF6067"/>
    <w:rsid w:val="00C01379"/>
    <w:rsid w:val="00C013ED"/>
    <w:rsid w:val="00C0154C"/>
    <w:rsid w:val="00C04705"/>
    <w:rsid w:val="00C16183"/>
    <w:rsid w:val="00C179DF"/>
    <w:rsid w:val="00C206E4"/>
    <w:rsid w:val="00C20C2E"/>
    <w:rsid w:val="00C22D31"/>
    <w:rsid w:val="00C23612"/>
    <w:rsid w:val="00C26C9C"/>
    <w:rsid w:val="00C27183"/>
    <w:rsid w:val="00C42162"/>
    <w:rsid w:val="00C42A84"/>
    <w:rsid w:val="00C462E0"/>
    <w:rsid w:val="00C46969"/>
    <w:rsid w:val="00C56390"/>
    <w:rsid w:val="00C60ADD"/>
    <w:rsid w:val="00C61C5C"/>
    <w:rsid w:val="00C72910"/>
    <w:rsid w:val="00C72F00"/>
    <w:rsid w:val="00C7361F"/>
    <w:rsid w:val="00C7504E"/>
    <w:rsid w:val="00C808C6"/>
    <w:rsid w:val="00C814B3"/>
    <w:rsid w:val="00C85DB5"/>
    <w:rsid w:val="00C90718"/>
    <w:rsid w:val="00C90FF4"/>
    <w:rsid w:val="00C91BE8"/>
    <w:rsid w:val="00CA0198"/>
    <w:rsid w:val="00CA16D3"/>
    <w:rsid w:val="00CA44B6"/>
    <w:rsid w:val="00CA7F01"/>
    <w:rsid w:val="00CB24F4"/>
    <w:rsid w:val="00CB74C9"/>
    <w:rsid w:val="00CB7973"/>
    <w:rsid w:val="00CC1EC0"/>
    <w:rsid w:val="00CC54B3"/>
    <w:rsid w:val="00CC646B"/>
    <w:rsid w:val="00CC7422"/>
    <w:rsid w:val="00CC7D8E"/>
    <w:rsid w:val="00CD31B3"/>
    <w:rsid w:val="00CD609D"/>
    <w:rsid w:val="00CD70A9"/>
    <w:rsid w:val="00CD79CC"/>
    <w:rsid w:val="00CE1C96"/>
    <w:rsid w:val="00CE374F"/>
    <w:rsid w:val="00CE6C00"/>
    <w:rsid w:val="00CE7FF1"/>
    <w:rsid w:val="00CF30E2"/>
    <w:rsid w:val="00CF3832"/>
    <w:rsid w:val="00CF3A42"/>
    <w:rsid w:val="00D12D7F"/>
    <w:rsid w:val="00D14BC8"/>
    <w:rsid w:val="00D16000"/>
    <w:rsid w:val="00D169FF"/>
    <w:rsid w:val="00D20C11"/>
    <w:rsid w:val="00D20D23"/>
    <w:rsid w:val="00D25540"/>
    <w:rsid w:val="00D27691"/>
    <w:rsid w:val="00D30A33"/>
    <w:rsid w:val="00D37315"/>
    <w:rsid w:val="00D407BF"/>
    <w:rsid w:val="00D40965"/>
    <w:rsid w:val="00D420F0"/>
    <w:rsid w:val="00D43D58"/>
    <w:rsid w:val="00D44A3C"/>
    <w:rsid w:val="00D45A6A"/>
    <w:rsid w:val="00D4768C"/>
    <w:rsid w:val="00D47F84"/>
    <w:rsid w:val="00D54937"/>
    <w:rsid w:val="00D54DBB"/>
    <w:rsid w:val="00D55B2A"/>
    <w:rsid w:val="00D57344"/>
    <w:rsid w:val="00D6060D"/>
    <w:rsid w:val="00D64ACE"/>
    <w:rsid w:val="00D66F32"/>
    <w:rsid w:val="00D7153A"/>
    <w:rsid w:val="00D71BB3"/>
    <w:rsid w:val="00D77783"/>
    <w:rsid w:val="00D8118D"/>
    <w:rsid w:val="00D82540"/>
    <w:rsid w:val="00D843C7"/>
    <w:rsid w:val="00D87457"/>
    <w:rsid w:val="00D96A86"/>
    <w:rsid w:val="00DA1C6A"/>
    <w:rsid w:val="00DA3B87"/>
    <w:rsid w:val="00DB72BA"/>
    <w:rsid w:val="00DC384B"/>
    <w:rsid w:val="00DC7255"/>
    <w:rsid w:val="00DD4AB1"/>
    <w:rsid w:val="00DD7B65"/>
    <w:rsid w:val="00DE10D4"/>
    <w:rsid w:val="00DE24EC"/>
    <w:rsid w:val="00DE5932"/>
    <w:rsid w:val="00DE7AB0"/>
    <w:rsid w:val="00DF3524"/>
    <w:rsid w:val="00DF4A81"/>
    <w:rsid w:val="00DF5934"/>
    <w:rsid w:val="00E0044D"/>
    <w:rsid w:val="00E05B86"/>
    <w:rsid w:val="00E0620F"/>
    <w:rsid w:val="00E10C64"/>
    <w:rsid w:val="00E1219D"/>
    <w:rsid w:val="00E13C09"/>
    <w:rsid w:val="00E13CE1"/>
    <w:rsid w:val="00E30BBE"/>
    <w:rsid w:val="00E33301"/>
    <w:rsid w:val="00E33AA6"/>
    <w:rsid w:val="00E35B03"/>
    <w:rsid w:val="00E364F8"/>
    <w:rsid w:val="00E374FA"/>
    <w:rsid w:val="00E37CCD"/>
    <w:rsid w:val="00E40CA7"/>
    <w:rsid w:val="00E46460"/>
    <w:rsid w:val="00E4759B"/>
    <w:rsid w:val="00E54436"/>
    <w:rsid w:val="00E567C6"/>
    <w:rsid w:val="00E57A82"/>
    <w:rsid w:val="00E62A84"/>
    <w:rsid w:val="00E64FC1"/>
    <w:rsid w:val="00E70C39"/>
    <w:rsid w:val="00E76F9F"/>
    <w:rsid w:val="00E77B26"/>
    <w:rsid w:val="00E833C1"/>
    <w:rsid w:val="00E8376A"/>
    <w:rsid w:val="00E85F75"/>
    <w:rsid w:val="00E87893"/>
    <w:rsid w:val="00E91A73"/>
    <w:rsid w:val="00E93DFA"/>
    <w:rsid w:val="00EA1A47"/>
    <w:rsid w:val="00EA25D0"/>
    <w:rsid w:val="00EA6207"/>
    <w:rsid w:val="00EA765C"/>
    <w:rsid w:val="00EB75B0"/>
    <w:rsid w:val="00EC6078"/>
    <w:rsid w:val="00ED15C5"/>
    <w:rsid w:val="00ED1939"/>
    <w:rsid w:val="00ED74B2"/>
    <w:rsid w:val="00EE728B"/>
    <w:rsid w:val="00EF03D2"/>
    <w:rsid w:val="00EF0605"/>
    <w:rsid w:val="00EF5679"/>
    <w:rsid w:val="00EF5E0D"/>
    <w:rsid w:val="00EF69B3"/>
    <w:rsid w:val="00F01132"/>
    <w:rsid w:val="00F04287"/>
    <w:rsid w:val="00F049EE"/>
    <w:rsid w:val="00F07343"/>
    <w:rsid w:val="00F1448D"/>
    <w:rsid w:val="00F1798A"/>
    <w:rsid w:val="00F24FBF"/>
    <w:rsid w:val="00F3220E"/>
    <w:rsid w:val="00F36146"/>
    <w:rsid w:val="00F408D6"/>
    <w:rsid w:val="00F40D68"/>
    <w:rsid w:val="00F443F7"/>
    <w:rsid w:val="00F4652F"/>
    <w:rsid w:val="00F5438F"/>
    <w:rsid w:val="00F54912"/>
    <w:rsid w:val="00F611C4"/>
    <w:rsid w:val="00F64268"/>
    <w:rsid w:val="00F710D7"/>
    <w:rsid w:val="00F747BE"/>
    <w:rsid w:val="00F82697"/>
    <w:rsid w:val="00F8704E"/>
    <w:rsid w:val="00F87FE9"/>
    <w:rsid w:val="00F90A7C"/>
    <w:rsid w:val="00F95094"/>
    <w:rsid w:val="00F95EEF"/>
    <w:rsid w:val="00F9678C"/>
    <w:rsid w:val="00FA10AC"/>
    <w:rsid w:val="00FA47C5"/>
    <w:rsid w:val="00FB1124"/>
    <w:rsid w:val="00FB1E4E"/>
    <w:rsid w:val="00FD6B6E"/>
    <w:rsid w:val="00FD6F69"/>
    <w:rsid w:val="00FD7563"/>
    <w:rsid w:val="00FE3E14"/>
    <w:rsid w:val="00FE6856"/>
    <w:rsid w:val="00FE72CC"/>
    <w:rsid w:val="00FF18AC"/>
    <w:rsid w:val="00FF672A"/>
    <w:rsid w:val="03758365"/>
    <w:rsid w:val="043B113D"/>
    <w:rsid w:val="051D8B04"/>
    <w:rsid w:val="0877E046"/>
    <w:rsid w:val="0D62484E"/>
    <w:rsid w:val="0FD33A94"/>
    <w:rsid w:val="12F6F739"/>
    <w:rsid w:val="1369B0A8"/>
    <w:rsid w:val="169A0367"/>
    <w:rsid w:val="169F8FCC"/>
    <w:rsid w:val="192D2D72"/>
    <w:rsid w:val="1AF655FD"/>
    <w:rsid w:val="1DF2C0E0"/>
    <w:rsid w:val="1E67D0E7"/>
    <w:rsid w:val="1F4AFCCE"/>
    <w:rsid w:val="1FA86EEA"/>
    <w:rsid w:val="1FD79443"/>
    <w:rsid w:val="2005C0C4"/>
    <w:rsid w:val="2177F0EE"/>
    <w:rsid w:val="23275447"/>
    <w:rsid w:val="259481C1"/>
    <w:rsid w:val="2596B3D0"/>
    <w:rsid w:val="293B174F"/>
    <w:rsid w:val="2952971D"/>
    <w:rsid w:val="29A354D1"/>
    <w:rsid w:val="2AC3DEE0"/>
    <w:rsid w:val="2B47845B"/>
    <w:rsid w:val="2B761582"/>
    <w:rsid w:val="2B8FDCE7"/>
    <w:rsid w:val="2BFFAD61"/>
    <w:rsid w:val="2D5C0A4E"/>
    <w:rsid w:val="2F4A5F56"/>
    <w:rsid w:val="2F4D1B15"/>
    <w:rsid w:val="2F7EDA2A"/>
    <w:rsid w:val="303C990D"/>
    <w:rsid w:val="3179C5D1"/>
    <w:rsid w:val="31910257"/>
    <w:rsid w:val="34BF4D64"/>
    <w:rsid w:val="34C4D33F"/>
    <w:rsid w:val="35BDA6FA"/>
    <w:rsid w:val="36B04369"/>
    <w:rsid w:val="39B2FEF0"/>
    <w:rsid w:val="3A8E24CE"/>
    <w:rsid w:val="3B630AD0"/>
    <w:rsid w:val="3CFBA761"/>
    <w:rsid w:val="3D3CD2DF"/>
    <w:rsid w:val="3FD5DAE2"/>
    <w:rsid w:val="462F8397"/>
    <w:rsid w:val="46FF2E0F"/>
    <w:rsid w:val="4CB4C86B"/>
    <w:rsid w:val="4E6BE8AC"/>
    <w:rsid w:val="4E7F0757"/>
    <w:rsid w:val="5471BE48"/>
    <w:rsid w:val="54900646"/>
    <w:rsid w:val="54E7D9F6"/>
    <w:rsid w:val="56793D9B"/>
    <w:rsid w:val="56A48EFD"/>
    <w:rsid w:val="574470E6"/>
    <w:rsid w:val="5A5AB70A"/>
    <w:rsid w:val="5DD4D084"/>
    <w:rsid w:val="5E66EF2F"/>
    <w:rsid w:val="6033117B"/>
    <w:rsid w:val="61D114EE"/>
    <w:rsid w:val="61F3FC95"/>
    <w:rsid w:val="625DE85C"/>
    <w:rsid w:val="64308DF5"/>
    <w:rsid w:val="647C50F5"/>
    <w:rsid w:val="6748D252"/>
    <w:rsid w:val="6992544D"/>
    <w:rsid w:val="6EBFB70A"/>
    <w:rsid w:val="6EE137E1"/>
    <w:rsid w:val="70500C33"/>
    <w:rsid w:val="724FAEC5"/>
    <w:rsid w:val="72CEF1B4"/>
    <w:rsid w:val="74390A7A"/>
    <w:rsid w:val="76C00C11"/>
    <w:rsid w:val="7B4D06B3"/>
    <w:rsid w:val="7B4EAF5C"/>
    <w:rsid w:val="7C39E7A3"/>
    <w:rsid w:val="7DB15430"/>
    <w:rsid w:val="7E098675"/>
    <w:rsid w:val="7E1C2DE3"/>
    <w:rsid w:val="7E8C7F55"/>
    <w:rsid w:val="7ED8250C"/>
    <w:rsid w:val="7EFF84E2"/>
    <w:rsid w:val="7FF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6DB5"/>
  <w15:chartTrackingRefBased/>
  <w15:docId w15:val="{19C0F2E5-AD73-4921-BC2C-FDF47A0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B4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B5B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B5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B5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B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5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5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7361F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5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A7"/>
  </w:style>
  <w:style w:type="paragraph" w:styleId="Footer">
    <w:name w:val="footer"/>
    <w:basedOn w:val="Normal"/>
    <w:link w:val="FooterChar"/>
    <w:uiPriority w:val="99"/>
    <w:unhideWhenUsed/>
    <w:rsid w:val="002B5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A7"/>
  </w:style>
  <w:style w:type="paragraph" w:customStyle="1" w:styleId="pf1">
    <w:name w:val="pf1"/>
    <w:basedOn w:val="Normal"/>
    <w:rsid w:val="00B8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f0">
    <w:name w:val="pf0"/>
    <w:basedOn w:val="Normal"/>
    <w:rsid w:val="00B8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11">
    <w:name w:val="cf11"/>
    <w:basedOn w:val="DefaultParagraphFont"/>
    <w:rsid w:val="00B8285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8b97493cc8356c3c882aa9b/Opioids_patient_safety_information_leaflet_v2_and_QR__003_.pdf" TargetMode="External"/><Relationship Id="rId18" Type="http://schemas.openxmlformats.org/officeDocument/2006/relationships/hyperlink" Target="https://jamanetwork.com/journals/jamainternalmedicine/fullarticle/2736353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nida.nih.gov/sites/default/files/opioidrisktoo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ngland.nhs.uk/wp-content/uploads/2024/09/PRN00675-ii-making-decisions-to-help-you-live-well-with-chronic-primary-pain.pdf" TargetMode="External"/><Relationship Id="rId17" Type="http://schemas.openxmlformats.org/officeDocument/2006/relationships/hyperlink" Target="https://www.acbcalc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ot.southyorkshire.icb.nhs.uk/south-yorkshire/files/South%20Yorkshire%20Guideline%20Opioid%20Prescribing%20in%20Chronic%20Non-Cancer%20(including%20Tapering%20Advice).pdf" TargetMode="External"/><Relationship Id="rId20" Type="http://schemas.openxmlformats.org/officeDocument/2006/relationships/hyperlink" Target="https://www.gov.uk/drug-safety-update/benzodiazepines-and-opioids-reminder-of-risk-of-potentially-fatal-respiratory-depress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t.southyorkshire.icb.nhs.uk/south-yorkshire/files/South%20Yorkshire%20Guideline%20Opioid%20Prescribing%20in%20Chronic%20Non-Cancer%20(including%20Tapering%20Advice).pdf" TargetMode="External"/><Relationship Id="rId24" Type="http://schemas.openxmlformats.org/officeDocument/2006/relationships/hyperlink" Target="https://www.medicines.org.uk/em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pm.ac.uk/opioids-aware" TargetMode="External"/><Relationship Id="rId23" Type="http://schemas.openxmlformats.org/officeDocument/2006/relationships/hyperlink" Target="https://mot.southyorkshire.icb.nhs.uk/south-yorkshire/files/South%20Yorkshire%20Guideline%20Opioid%20Prescribing%20in%20Chronic%20Non-Cancer%20(including%20Tapering%20Advice)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ot.southyorkshire.icb.nhs.uk/south-yorkshire/files/South%20Yorkshire%20Position%20Statement%20Prescribing%20of%20Gabapentinoid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pm.ac.uk/sites/fpm/files/documents/2023-07/Driving%20and%20Pain%202023.pdf" TargetMode="External"/><Relationship Id="rId22" Type="http://schemas.openxmlformats.org/officeDocument/2006/relationships/hyperlink" Target="https://mot.southyorkshire.icb.nhs.uk/south-yorkshire/files/South%20Yorkshire%20Guideline%20Opioid%20Prescribing%20in%20Chronic%20Non-Cancer%20(including%20Tapering%20Advice)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75ad-5aee-4862-9c19-d00d69a21c19" xsi:nil="true"/>
    <_ip_UnifiedCompliancePolicyUIAction xmlns="http://schemas.microsoft.com/sharepoint/v3" xsi:nil="true"/>
    <comment xmlns="6d6a54b7-fc96-4537-b515-e30173027318" xsi:nil="true"/>
    <Outcome xmlns="6d6a54b7-fc96-4537-b515-e30173027318" xsi:nil="true"/>
    <lcf76f155ced4ddcb4097134ff3c332f xmlns="6d6a54b7-fc96-4537-b515-e3017302731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6E004-D019-4062-B03E-85B4928C4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144D4-1B80-4B54-937A-757B0FE6A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B4EDD-CA7C-4B29-875C-ACC45162CC8B}">
  <ds:schemaRefs>
    <ds:schemaRef ds:uri="http://purl.org/dc/elements/1.1/"/>
    <ds:schemaRef ds:uri="http://schemas.microsoft.com/office/infopath/2007/PartnerControls"/>
    <ds:schemaRef ds:uri="6d6a54b7-fc96-4537-b515-e30173027318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b41175ad-5aee-4862-9c19-d00d69a21c19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8B0454-0DD3-4884-8499-C7EBB36C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a54b7-fc96-4537-b515-e30173027318"/>
    <ds:schemaRef ds:uri="b41175ad-5aee-4862-9c19-d00d69a2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1848</Words>
  <Characters>10534</Characters>
  <Application>Microsoft Office Word</Application>
  <DocSecurity>4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Kate (THE SCOTT PRACTICE)</dc:creator>
  <cp:keywords/>
  <dc:description/>
  <cp:lastModifiedBy>COX, Jennifer (NHS SOUTH YORKSHIRE ICB - 02X)</cp:lastModifiedBy>
  <cp:revision>2</cp:revision>
  <dcterms:created xsi:type="dcterms:W3CDTF">2026-06-17T08:49:00Z</dcterms:created>
  <dcterms:modified xsi:type="dcterms:W3CDTF">2026-06-17T08:49:00Z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